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C305" w14:textId="77777777" w:rsidR="002559C7" w:rsidRPr="0003653F" w:rsidRDefault="002559C7" w:rsidP="002559C7">
      <w:pPr>
        <w:rPr>
          <w:rFonts w:ascii="Arial" w:hAnsi="Arial" w:cs="Arial"/>
          <w:b/>
          <w:sz w:val="20"/>
          <w:szCs w:val="20"/>
        </w:rPr>
      </w:pPr>
    </w:p>
    <w:p w14:paraId="0D0C4A12" w14:textId="77777777" w:rsidR="002559C7" w:rsidRPr="0003653F" w:rsidRDefault="00964C89" w:rsidP="002559C7">
      <w:pPr>
        <w:rPr>
          <w:rFonts w:ascii="Arial" w:hAnsi="Arial" w:cs="Arial"/>
          <w:b/>
          <w:sz w:val="20"/>
          <w:szCs w:val="20"/>
        </w:rPr>
      </w:pPr>
      <w:r>
        <w:rPr>
          <w:rFonts w:ascii="Arial" w:hAnsi="Arial" w:cs="Arial"/>
          <w:b/>
          <w:sz w:val="20"/>
          <w:szCs w:val="20"/>
        </w:rPr>
        <w:t xml:space="preserve">                                     </w:t>
      </w:r>
    </w:p>
    <w:p w14:paraId="2B82514F" w14:textId="77777777" w:rsidR="002559C7" w:rsidRDefault="002559C7" w:rsidP="00F3567C">
      <w:pPr>
        <w:pStyle w:val="HeadingLine"/>
        <w:jc w:val="center"/>
        <w:rPr>
          <w:rFonts w:cs="Arial"/>
          <w:noProof/>
          <w:sz w:val="20"/>
          <w:lang w:val="en-NZ"/>
        </w:rPr>
      </w:pPr>
    </w:p>
    <w:p w14:paraId="41760317" w14:textId="77777777" w:rsidR="00773930" w:rsidRPr="00773930" w:rsidRDefault="00773930" w:rsidP="00773930">
      <w:pPr>
        <w:pStyle w:val="Heading5"/>
        <w:rPr>
          <w:lang w:val="en-NZ"/>
        </w:rPr>
      </w:pPr>
    </w:p>
    <w:p w14:paraId="67615674" w14:textId="77777777" w:rsidR="00F3567C" w:rsidRDefault="00F3567C" w:rsidP="00F3567C">
      <w:pPr>
        <w:pStyle w:val="Heading5"/>
        <w:rPr>
          <w:lang w:val="en-NZ"/>
        </w:rPr>
      </w:pPr>
    </w:p>
    <w:p w14:paraId="1C3E9CD3" w14:textId="0988A230" w:rsidR="00F3567C" w:rsidRDefault="00893B2F" w:rsidP="00F3567C">
      <w:pPr>
        <w:pStyle w:val="BlockText"/>
        <w:jc w:val="center"/>
        <w:rPr>
          <w:b/>
          <w:sz w:val="96"/>
          <w:szCs w:val="96"/>
          <w:lang w:val="en-NZ"/>
        </w:rPr>
      </w:pPr>
      <w:r>
        <w:rPr>
          <w:b/>
          <w:sz w:val="96"/>
          <w:szCs w:val="96"/>
          <w:lang w:val="en-NZ"/>
        </w:rPr>
        <w:t>LEARNER</w:t>
      </w:r>
      <w:r w:rsidR="00F3567C" w:rsidRPr="00F3567C">
        <w:rPr>
          <w:b/>
          <w:sz w:val="96"/>
          <w:szCs w:val="96"/>
          <w:lang w:val="en-NZ"/>
        </w:rPr>
        <w:t xml:space="preserve"> </w:t>
      </w:r>
    </w:p>
    <w:p w14:paraId="291307B8" w14:textId="77777777" w:rsidR="00F3567C" w:rsidRDefault="00F3567C" w:rsidP="00F3567C">
      <w:pPr>
        <w:pStyle w:val="BlockText"/>
        <w:jc w:val="center"/>
        <w:rPr>
          <w:b/>
          <w:sz w:val="96"/>
          <w:szCs w:val="96"/>
          <w:lang w:val="en-NZ"/>
        </w:rPr>
      </w:pPr>
    </w:p>
    <w:p w14:paraId="5A1BF91B" w14:textId="77777777" w:rsidR="00F3567C" w:rsidRDefault="00F3567C" w:rsidP="00F3567C">
      <w:pPr>
        <w:pStyle w:val="BlockText"/>
        <w:jc w:val="center"/>
        <w:rPr>
          <w:b/>
          <w:sz w:val="96"/>
          <w:szCs w:val="96"/>
          <w:lang w:val="en-NZ"/>
        </w:rPr>
      </w:pPr>
      <w:r w:rsidRPr="00F3567C">
        <w:rPr>
          <w:b/>
          <w:sz w:val="96"/>
          <w:szCs w:val="96"/>
          <w:lang w:val="en-NZ"/>
        </w:rPr>
        <w:t>REGULATIONS</w:t>
      </w:r>
    </w:p>
    <w:p w14:paraId="7E3063C9" w14:textId="77777777" w:rsidR="00F3567C" w:rsidRDefault="00F3567C" w:rsidP="00F3567C">
      <w:pPr>
        <w:pStyle w:val="BlockText"/>
        <w:jc w:val="center"/>
        <w:rPr>
          <w:b/>
          <w:sz w:val="96"/>
          <w:szCs w:val="96"/>
          <w:lang w:val="en-NZ"/>
        </w:rPr>
      </w:pPr>
    </w:p>
    <w:p w14:paraId="21711433" w14:textId="77777777" w:rsidR="00F3567C" w:rsidRPr="00F3567C" w:rsidRDefault="00F3567C" w:rsidP="00F3567C">
      <w:pPr>
        <w:pStyle w:val="BlockText"/>
        <w:jc w:val="center"/>
        <w:rPr>
          <w:b/>
          <w:sz w:val="96"/>
          <w:szCs w:val="96"/>
          <w:lang w:val="en-NZ"/>
        </w:rPr>
      </w:pPr>
    </w:p>
    <w:p w14:paraId="49CB3DF2" w14:textId="319C6A69" w:rsidR="004C7D44" w:rsidRDefault="00F3567C" w:rsidP="00F3567C">
      <w:pPr>
        <w:pStyle w:val="BlockText"/>
        <w:jc w:val="center"/>
        <w:rPr>
          <w:b/>
          <w:sz w:val="96"/>
          <w:szCs w:val="96"/>
          <w:lang w:val="en-NZ"/>
        </w:rPr>
        <w:sectPr w:rsidR="004C7D44" w:rsidSect="00222AE8">
          <w:headerReference w:type="default" r:id="rId11"/>
          <w:footerReference w:type="even" r:id="rId12"/>
          <w:footerReference w:type="default" r:id="rId13"/>
          <w:pgSz w:w="11907" w:h="16840" w:code="9"/>
          <w:pgMar w:top="2380" w:right="1134" w:bottom="567" w:left="1134" w:header="851" w:footer="567" w:gutter="0"/>
          <w:cols w:space="708"/>
          <w:docGrid w:linePitch="360"/>
        </w:sectPr>
      </w:pPr>
      <w:r w:rsidRPr="00F3567C">
        <w:rPr>
          <w:b/>
          <w:sz w:val="96"/>
          <w:szCs w:val="96"/>
          <w:lang w:val="en-NZ"/>
        </w:rPr>
        <w:t>20</w:t>
      </w:r>
      <w:r w:rsidR="004C7D44">
        <w:rPr>
          <w:b/>
          <w:sz w:val="96"/>
          <w:szCs w:val="96"/>
          <w:lang w:val="en-NZ"/>
        </w:rPr>
        <w:t>2</w:t>
      </w:r>
      <w:r w:rsidR="00061E32">
        <w:rPr>
          <w:b/>
          <w:sz w:val="96"/>
          <w:szCs w:val="96"/>
          <w:lang w:val="en-NZ"/>
        </w:rPr>
        <w:t>4</w:t>
      </w:r>
    </w:p>
    <w:p w14:paraId="0A20BDE0" w14:textId="61A6745F" w:rsidR="00F3567C" w:rsidRPr="00F3567C" w:rsidRDefault="00F3567C" w:rsidP="00F3567C">
      <w:pPr>
        <w:pStyle w:val="BlockText"/>
        <w:jc w:val="center"/>
        <w:rPr>
          <w:b/>
          <w:sz w:val="96"/>
          <w:szCs w:val="96"/>
          <w:lang w:val="en-NZ"/>
        </w:rPr>
      </w:pPr>
    </w:p>
    <w:p w14:paraId="2520E995" w14:textId="77777777" w:rsidR="002559C7" w:rsidRPr="0003653F" w:rsidRDefault="002559C7" w:rsidP="002559C7">
      <w:pPr>
        <w:pStyle w:val="Heading5"/>
        <w:rPr>
          <w:rFonts w:ascii="Arial" w:hAnsi="Arial" w:cs="Arial"/>
          <w:sz w:val="20"/>
          <w:szCs w:val="20"/>
          <w:lang w:val="en-NZ"/>
        </w:rPr>
        <w:sectPr w:rsidR="002559C7" w:rsidRPr="0003653F" w:rsidSect="004C7D44">
          <w:type w:val="continuous"/>
          <w:pgSz w:w="11907" w:h="16840" w:code="9"/>
          <w:pgMar w:top="2380" w:right="1134" w:bottom="567" w:left="1134" w:header="851" w:footer="567" w:gutter="0"/>
          <w:cols w:space="708"/>
          <w:docGrid w:linePitch="360"/>
        </w:sectPr>
      </w:pPr>
    </w:p>
    <w:p w14:paraId="7AADBD3C" w14:textId="77777777" w:rsidR="0005190F" w:rsidRPr="00921F28" w:rsidRDefault="00D72A1B">
      <w:pPr>
        <w:pStyle w:val="BlockText"/>
        <w:spacing w:before="120" w:after="240"/>
        <w:ind w:left="0"/>
        <w:rPr>
          <w:rFonts w:cs="Arial"/>
          <w:lang w:val="en-NZ"/>
        </w:rPr>
      </w:pPr>
      <w:bookmarkStart w:id="0" w:name="_Toc321122936"/>
      <w:bookmarkStart w:id="1" w:name="_Toc321125837"/>
      <w:r w:rsidRPr="00921F28">
        <w:rPr>
          <w:rFonts w:cs="Arial"/>
          <w:b/>
          <w:lang w:val="en-NZ"/>
        </w:rPr>
        <w:lastRenderedPageBreak/>
        <w:t>Table of Contents</w:t>
      </w:r>
      <w:bookmarkEnd w:id="0"/>
      <w:bookmarkEnd w:id="1"/>
    </w:p>
    <w:p w14:paraId="7641AB44" w14:textId="77777777" w:rsidR="0096415D" w:rsidRPr="0003653F" w:rsidRDefault="0096415D" w:rsidP="0096415D">
      <w:pPr>
        <w:pStyle w:val="HeadingLine"/>
        <w:rPr>
          <w:rFonts w:cs="Arial"/>
          <w:sz w:val="20"/>
          <w:lang w:val="en-NZ"/>
        </w:rPr>
      </w:pPr>
    </w:p>
    <w:p w14:paraId="01F79973" w14:textId="218ED3C7" w:rsidR="00891B0D" w:rsidRDefault="00316679">
      <w:pPr>
        <w:pStyle w:val="TOC1"/>
        <w:rPr>
          <w:rFonts w:asciiTheme="minorHAnsi" w:eastAsiaTheme="minorEastAsia" w:hAnsiTheme="minorHAnsi" w:cstheme="minorBidi"/>
          <w:b w:val="0"/>
          <w:bCs w:val="0"/>
          <w:sz w:val="22"/>
          <w:szCs w:val="22"/>
        </w:rPr>
      </w:pPr>
      <w:r w:rsidRPr="0003653F">
        <w:rPr>
          <w:bCs w:val="0"/>
          <w:caps/>
          <w:noProof w:val="0"/>
        </w:rPr>
        <w:fldChar w:fldCharType="begin"/>
      </w:r>
      <w:r w:rsidR="00601610" w:rsidRPr="0003653F">
        <w:instrText xml:space="preserve"> TOC \o "1-3" \h \z \u </w:instrText>
      </w:r>
      <w:r w:rsidRPr="0003653F">
        <w:rPr>
          <w:bCs w:val="0"/>
          <w:caps/>
          <w:noProof w:val="0"/>
        </w:rPr>
        <w:fldChar w:fldCharType="separate"/>
      </w:r>
      <w:hyperlink w:anchor="_Toc105753594" w:history="1">
        <w:r w:rsidR="00891B0D" w:rsidRPr="005923AF">
          <w:rPr>
            <w:rStyle w:val="Hyperlink"/>
          </w:rPr>
          <w:t>1.</w:t>
        </w:r>
        <w:r w:rsidR="00891B0D">
          <w:rPr>
            <w:rFonts w:asciiTheme="minorHAnsi" w:eastAsiaTheme="minorEastAsia" w:hAnsiTheme="minorHAnsi" w:cstheme="minorBidi"/>
            <w:b w:val="0"/>
            <w:bCs w:val="0"/>
            <w:sz w:val="22"/>
            <w:szCs w:val="22"/>
          </w:rPr>
          <w:tab/>
        </w:r>
        <w:r w:rsidR="00891B0D" w:rsidRPr="005923AF">
          <w:rPr>
            <w:rStyle w:val="Hyperlink"/>
          </w:rPr>
          <w:t>General</w:t>
        </w:r>
        <w:r w:rsidR="00891B0D">
          <w:rPr>
            <w:webHidden/>
          </w:rPr>
          <w:tab/>
        </w:r>
        <w:r w:rsidR="00891B0D">
          <w:rPr>
            <w:webHidden/>
          </w:rPr>
          <w:fldChar w:fldCharType="begin"/>
        </w:r>
        <w:r w:rsidR="00891B0D">
          <w:rPr>
            <w:webHidden/>
          </w:rPr>
          <w:instrText xml:space="preserve"> PAGEREF _Toc105753594 \h </w:instrText>
        </w:r>
        <w:r w:rsidR="00891B0D">
          <w:rPr>
            <w:webHidden/>
          </w:rPr>
        </w:r>
        <w:r w:rsidR="00891B0D">
          <w:rPr>
            <w:webHidden/>
          </w:rPr>
          <w:fldChar w:fldCharType="separate"/>
        </w:r>
        <w:r w:rsidR="00891B0D">
          <w:rPr>
            <w:webHidden/>
          </w:rPr>
          <w:t>3</w:t>
        </w:r>
        <w:r w:rsidR="00891B0D">
          <w:rPr>
            <w:webHidden/>
          </w:rPr>
          <w:fldChar w:fldCharType="end"/>
        </w:r>
      </w:hyperlink>
    </w:p>
    <w:p w14:paraId="12C68B60" w14:textId="30986C8B" w:rsidR="00891B0D" w:rsidRDefault="00B62FAD">
      <w:pPr>
        <w:pStyle w:val="TOC1"/>
        <w:rPr>
          <w:rFonts w:asciiTheme="minorHAnsi" w:eastAsiaTheme="minorEastAsia" w:hAnsiTheme="minorHAnsi" w:cstheme="minorBidi"/>
          <w:b w:val="0"/>
          <w:bCs w:val="0"/>
          <w:sz w:val="22"/>
          <w:szCs w:val="22"/>
        </w:rPr>
      </w:pPr>
      <w:hyperlink w:anchor="_Toc105753595" w:history="1">
        <w:r w:rsidR="00891B0D" w:rsidRPr="005923AF">
          <w:rPr>
            <w:rStyle w:val="Hyperlink"/>
          </w:rPr>
          <w:t>2.</w:t>
        </w:r>
        <w:r w:rsidR="00891B0D">
          <w:rPr>
            <w:rFonts w:asciiTheme="minorHAnsi" w:eastAsiaTheme="minorEastAsia" w:hAnsiTheme="minorHAnsi" w:cstheme="minorBidi"/>
            <w:b w:val="0"/>
            <w:bCs w:val="0"/>
            <w:sz w:val="22"/>
            <w:szCs w:val="22"/>
          </w:rPr>
          <w:tab/>
        </w:r>
        <w:r w:rsidR="00891B0D" w:rsidRPr="005923AF">
          <w:rPr>
            <w:rStyle w:val="Hyperlink"/>
          </w:rPr>
          <w:t>Providing Equal Opportunities to Learners</w:t>
        </w:r>
        <w:r w:rsidR="00891B0D">
          <w:rPr>
            <w:webHidden/>
          </w:rPr>
          <w:tab/>
        </w:r>
        <w:r w:rsidR="00891B0D">
          <w:rPr>
            <w:webHidden/>
          </w:rPr>
          <w:fldChar w:fldCharType="begin"/>
        </w:r>
        <w:r w:rsidR="00891B0D">
          <w:rPr>
            <w:webHidden/>
          </w:rPr>
          <w:instrText xml:space="preserve"> PAGEREF _Toc105753595 \h </w:instrText>
        </w:r>
        <w:r w:rsidR="00891B0D">
          <w:rPr>
            <w:webHidden/>
          </w:rPr>
        </w:r>
        <w:r w:rsidR="00891B0D">
          <w:rPr>
            <w:webHidden/>
          </w:rPr>
          <w:fldChar w:fldCharType="separate"/>
        </w:r>
        <w:r w:rsidR="00891B0D">
          <w:rPr>
            <w:webHidden/>
          </w:rPr>
          <w:t>4</w:t>
        </w:r>
        <w:r w:rsidR="00891B0D">
          <w:rPr>
            <w:webHidden/>
          </w:rPr>
          <w:fldChar w:fldCharType="end"/>
        </w:r>
      </w:hyperlink>
    </w:p>
    <w:p w14:paraId="65DD9700" w14:textId="20E28A53" w:rsidR="00891B0D" w:rsidRDefault="00B62FAD">
      <w:pPr>
        <w:pStyle w:val="TOC1"/>
        <w:rPr>
          <w:rFonts w:asciiTheme="minorHAnsi" w:eastAsiaTheme="minorEastAsia" w:hAnsiTheme="minorHAnsi" w:cstheme="minorBidi"/>
          <w:b w:val="0"/>
          <w:bCs w:val="0"/>
          <w:sz w:val="22"/>
          <w:szCs w:val="22"/>
        </w:rPr>
      </w:pPr>
      <w:hyperlink w:anchor="_Toc105753596" w:history="1">
        <w:r w:rsidR="00891B0D" w:rsidRPr="005923AF">
          <w:rPr>
            <w:rStyle w:val="Hyperlink"/>
          </w:rPr>
          <w:t>3.</w:t>
        </w:r>
        <w:r w:rsidR="00891B0D">
          <w:rPr>
            <w:rFonts w:asciiTheme="minorHAnsi" w:eastAsiaTheme="minorEastAsia" w:hAnsiTheme="minorHAnsi" w:cstheme="minorBidi"/>
            <w:b w:val="0"/>
            <w:bCs w:val="0"/>
            <w:sz w:val="22"/>
            <w:szCs w:val="22"/>
          </w:rPr>
          <w:tab/>
        </w:r>
        <w:r w:rsidR="00891B0D" w:rsidRPr="005923AF">
          <w:rPr>
            <w:rStyle w:val="Hyperlink"/>
          </w:rPr>
          <w:t>Admission and Enrolment</w:t>
        </w:r>
        <w:r w:rsidR="00891B0D">
          <w:rPr>
            <w:webHidden/>
          </w:rPr>
          <w:tab/>
        </w:r>
        <w:r w:rsidR="00891B0D">
          <w:rPr>
            <w:webHidden/>
          </w:rPr>
          <w:fldChar w:fldCharType="begin"/>
        </w:r>
        <w:r w:rsidR="00891B0D">
          <w:rPr>
            <w:webHidden/>
          </w:rPr>
          <w:instrText xml:space="preserve"> PAGEREF _Toc105753596 \h </w:instrText>
        </w:r>
        <w:r w:rsidR="00891B0D">
          <w:rPr>
            <w:webHidden/>
          </w:rPr>
        </w:r>
        <w:r w:rsidR="00891B0D">
          <w:rPr>
            <w:webHidden/>
          </w:rPr>
          <w:fldChar w:fldCharType="separate"/>
        </w:r>
        <w:r w:rsidR="00891B0D">
          <w:rPr>
            <w:webHidden/>
          </w:rPr>
          <w:t>4</w:t>
        </w:r>
        <w:r w:rsidR="00891B0D">
          <w:rPr>
            <w:webHidden/>
          </w:rPr>
          <w:fldChar w:fldCharType="end"/>
        </w:r>
      </w:hyperlink>
    </w:p>
    <w:p w14:paraId="00F6C387" w14:textId="5762BD87" w:rsidR="00891B0D" w:rsidRDefault="00B62FAD">
      <w:pPr>
        <w:pStyle w:val="TOC1"/>
        <w:rPr>
          <w:rFonts w:asciiTheme="minorHAnsi" w:eastAsiaTheme="minorEastAsia" w:hAnsiTheme="minorHAnsi" w:cstheme="minorBidi"/>
          <w:b w:val="0"/>
          <w:bCs w:val="0"/>
          <w:sz w:val="22"/>
          <w:szCs w:val="22"/>
        </w:rPr>
      </w:pPr>
      <w:hyperlink w:anchor="_Toc105753597" w:history="1">
        <w:r w:rsidR="00891B0D" w:rsidRPr="005923AF">
          <w:rPr>
            <w:rStyle w:val="Hyperlink"/>
          </w:rPr>
          <w:t>4.</w:t>
        </w:r>
        <w:r w:rsidR="00891B0D">
          <w:rPr>
            <w:rFonts w:asciiTheme="minorHAnsi" w:eastAsiaTheme="minorEastAsia" w:hAnsiTheme="minorHAnsi" w:cstheme="minorBidi"/>
            <w:b w:val="0"/>
            <w:bCs w:val="0"/>
            <w:sz w:val="22"/>
            <w:szCs w:val="22"/>
          </w:rPr>
          <w:tab/>
        </w:r>
        <w:r w:rsidR="00891B0D" w:rsidRPr="005923AF">
          <w:rPr>
            <w:rStyle w:val="Hyperlink"/>
          </w:rPr>
          <w:t>Setting and Paying Fees</w:t>
        </w:r>
        <w:r w:rsidR="00891B0D">
          <w:rPr>
            <w:webHidden/>
          </w:rPr>
          <w:tab/>
        </w:r>
        <w:r w:rsidR="00891B0D">
          <w:rPr>
            <w:webHidden/>
          </w:rPr>
          <w:fldChar w:fldCharType="begin"/>
        </w:r>
        <w:r w:rsidR="00891B0D">
          <w:rPr>
            <w:webHidden/>
          </w:rPr>
          <w:instrText xml:space="preserve"> PAGEREF _Toc105753597 \h </w:instrText>
        </w:r>
        <w:r w:rsidR="00891B0D">
          <w:rPr>
            <w:webHidden/>
          </w:rPr>
        </w:r>
        <w:r w:rsidR="00891B0D">
          <w:rPr>
            <w:webHidden/>
          </w:rPr>
          <w:fldChar w:fldCharType="separate"/>
        </w:r>
        <w:r w:rsidR="00891B0D">
          <w:rPr>
            <w:webHidden/>
          </w:rPr>
          <w:t>9</w:t>
        </w:r>
        <w:r w:rsidR="00891B0D">
          <w:rPr>
            <w:webHidden/>
          </w:rPr>
          <w:fldChar w:fldCharType="end"/>
        </w:r>
      </w:hyperlink>
    </w:p>
    <w:p w14:paraId="15B7D46F" w14:textId="600E8B20" w:rsidR="00891B0D" w:rsidRDefault="00B62FAD">
      <w:pPr>
        <w:pStyle w:val="TOC1"/>
        <w:rPr>
          <w:rFonts w:asciiTheme="minorHAnsi" w:eastAsiaTheme="minorEastAsia" w:hAnsiTheme="minorHAnsi" w:cstheme="minorBidi"/>
          <w:b w:val="0"/>
          <w:bCs w:val="0"/>
          <w:sz w:val="22"/>
          <w:szCs w:val="22"/>
        </w:rPr>
      </w:pPr>
      <w:hyperlink w:anchor="_Toc105753598" w:history="1">
        <w:r w:rsidR="00891B0D" w:rsidRPr="005923AF">
          <w:rPr>
            <w:rStyle w:val="Hyperlink"/>
          </w:rPr>
          <w:t>5.</w:t>
        </w:r>
        <w:r w:rsidR="00891B0D">
          <w:rPr>
            <w:rFonts w:asciiTheme="minorHAnsi" w:eastAsiaTheme="minorEastAsia" w:hAnsiTheme="minorHAnsi" w:cstheme="minorBidi"/>
            <w:b w:val="0"/>
            <w:bCs w:val="0"/>
            <w:sz w:val="22"/>
            <w:szCs w:val="22"/>
          </w:rPr>
          <w:tab/>
        </w:r>
        <w:r w:rsidR="00891B0D" w:rsidRPr="005923AF">
          <w:rPr>
            <w:rStyle w:val="Hyperlink"/>
          </w:rPr>
          <w:t>Cancellations, Postponements and Timetable Changes</w:t>
        </w:r>
        <w:r w:rsidR="00891B0D">
          <w:rPr>
            <w:webHidden/>
          </w:rPr>
          <w:tab/>
        </w:r>
        <w:r w:rsidR="00891B0D">
          <w:rPr>
            <w:webHidden/>
          </w:rPr>
          <w:fldChar w:fldCharType="begin"/>
        </w:r>
        <w:r w:rsidR="00891B0D">
          <w:rPr>
            <w:webHidden/>
          </w:rPr>
          <w:instrText xml:space="preserve"> PAGEREF _Toc105753598 \h </w:instrText>
        </w:r>
        <w:r w:rsidR="00891B0D">
          <w:rPr>
            <w:webHidden/>
          </w:rPr>
        </w:r>
        <w:r w:rsidR="00891B0D">
          <w:rPr>
            <w:webHidden/>
          </w:rPr>
          <w:fldChar w:fldCharType="separate"/>
        </w:r>
        <w:r w:rsidR="00891B0D">
          <w:rPr>
            <w:webHidden/>
          </w:rPr>
          <w:t>11</w:t>
        </w:r>
        <w:r w:rsidR="00891B0D">
          <w:rPr>
            <w:webHidden/>
          </w:rPr>
          <w:fldChar w:fldCharType="end"/>
        </w:r>
      </w:hyperlink>
    </w:p>
    <w:p w14:paraId="485D5741" w14:textId="6B9E4B9C" w:rsidR="00891B0D" w:rsidRDefault="00B62FAD">
      <w:pPr>
        <w:pStyle w:val="TOC1"/>
        <w:rPr>
          <w:rFonts w:asciiTheme="minorHAnsi" w:eastAsiaTheme="minorEastAsia" w:hAnsiTheme="minorHAnsi" w:cstheme="minorBidi"/>
          <w:b w:val="0"/>
          <w:bCs w:val="0"/>
          <w:sz w:val="22"/>
          <w:szCs w:val="22"/>
        </w:rPr>
      </w:pPr>
      <w:hyperlink w:anchor="_Toc105753599" w:history="1">
        <w:r w:rsidR="00891B0D" w:rsidRPr="005923AF">
          <w:rPr>
            <w:rStyle w:val="Hyperlink"/>
          </w:rPr>
          <w:t>6.</w:t>
        </w:r>
        <w:r w:rsidR="00891B0D">
          <w:rPr>
            <w:rFonts w:asciiTheme="minorHAnsi" w:eastAsiaTheme="minorEastAsia" w:hAnsiTheme="minorHAnsi" w:cstheme="minorBidi"/>
            <w:b w:val="0"/>
            <w:bCs w:val="0"/>
            <w:sz w:val="22"/>
            <w:szCs w:val="22"/>
          </w:rPr>
          <w:tab/>
        </w:r>
        <w:r w:rsidR="00891B0D" w:rsidRPr="005923AF">
          <w:rPr>
            <w:rStyle w:val="Hyperlink"/>
          </w:rPr>
          <w:t>Withdrawals</w:t>
        </w:r>
        <w:r w:rsidR="00891B0D">
          <w:rPr>
            <w:webHidden/>
          </w:rPr>
          <w:tab/>
        </w:r>
        <w:r w:rsidR="00891B0D">
          <w:rPr>
            <w:webHidden/>
          </w:rPr>
          <w:fldChar w:fldCharType="begin"/>
        </w:r>
        <w:r w:rsidR="00891B0D">
          <w:rPr>
            <w:webHidden/>
          </w:rPr>
          <w:instrText xml:space="preserve"> PAGEREF _Toc105753599 \h </w:instrText>
        </w:r>
        <w:r w:rsidR="00891B0D">
          <w:rPr>
            <w:webHidden/>
          </w:rPr>
        </w:r>
        <w:r w:rsidR="00891B0D">
          <w:rPr>
            <w:webHidden/>
          </w:rPr>
          <w:fldChar w:fldCharType="separate"/>
        </w:r>
        <w:r w:rsidR="00891B0D">
          <w:rPr>
            <w:webHidden/>
          </w:rPr>
          <w:t>12</w:t>
        </w:r>
        <w:r w:rsidR="00891B0D">
          <w:rPr>
            <w:webHidden/>
          </w:rPr>
          <w:fldChar w:fldCharType="end"/>
        </w:r>
      </w:hyperlink>
    </w:p>
    <w:p w14:paraId="3FE92F0B" w14:textId="58BAEA9F" w:rsidR="00891B0D" w:rsidRDefault="00B62FAD">
      <w:pPr>
        <w:pStyle w:val="TOC1"/>
        <w:rPr>
          <w:rFonts w:asciiTheme="minorHAnsi" w:eastAsiaTheme="minorEastAsia" w:hAnsiTheme="minorHAnsi" w:cstheme="minorBidi"/>
          <w:b w:val="0"/>
          <w:bCs w:val="0"/>
          <w:sz w:val="22"/>
          <w:szCs w:val="22"/>
        </w:rPr>
      </w:pPr>
      <w:hyperlink w:anchor="_Toc105753600" w:history="1">
        <w:r w:rsidR="00891B0D" w:rsidRPr="005923AF">
          <w:rPr>
            <w:rStyle w:val="Hyperlink"/>
          </w:rPr>
          <w:t>7.</w:t>
        </w:r>
        <w:r w:rsidR="00891B0D">
          <w:rPr>
            <w:rFonts w:asciiTheme="minorHAnsi" w:eastAsiaTheme="minorEastAsia" w:hAnsiTheme="minorHAnsi" w:cstheme="minorBidi"/>
            <w:b w:val="0"/>
            <w:bCs w:val="0"/>
            <w:sz w:val="22"/>
            <w:szCs w:val="22"/>
          </w:rPr>
          <w:tab/>
        </w:r>
        <w:r w:rsidR="00891B0D" w:rsidRPr="005923AF">
          <w:rPr>
            <w:rStyle w:val="Hyperlink"/>
          </w:rPr>
          <w:t>Transfers</w:t>
        </w:r>
        <w:r w:rsidR="00891B0D">
          <w:rPr>
            <w:webHidden/>
          </w:rPr>
          <w:tab/>
        </w:r>
        <w:r w:rsidR="00891B0D">
          <w:rPr>
            <w:webHidden/>
          </w:rPr>
          <w:fldChar w:fldCharType="begin"/>
        </w:r>
        <w:r w:rsidR="00891B0D">
          <w:rPr>
            <w:webHidden/>
          </w:rPr>
          <w:instrText xml:space="preserve"> PAGEREF _Toc105753600 \h </w:instrText>
        </w:r>
        <w:r w:rsidR="00891B0D">
          <w:rPr>
            <w:webHidden/>
          </w:rPr>
        </w:r>
        <w:r w:rsidR="00891B0D">
          <w:rPr>
            <w:webHidden/>
          </w:rPr>
          <w:fldChar w:fldCharType="separate"/>
        </w:r>
        <w:r w:rsidR="00891B0D">
          <w:rPr>
            <w:webHidden/>
          </w:rPr>
          <w:t>13</w:t>
        </w:r>
        <w:r w:rsidR="00891B0D">
          <w:rPr>
            <w:webHidden/>
          </w:rPr>
          <w:fldChar w:fldCharType="end"/>
        </w:r>
      </w:hyperlink>
    </w:p>
    <w:p w14:paraId="6FBE93A8" w14:textId="55E238F8" w:rsidR="00891B0D" w:rsidRDefault="00B62FAD">
      <w:pPr>
        <w:pStyle w:val="TOC1"/>
        <w:rPr>
          <w:rFonts w:asciiTheme="minorHAnsi" w:eastAsiaTheme="minorEastAsia" w:hAnsiTheme="minorHAnsi" w:cstheme="minorBidi"/>
          <w:b w:val="0"/>
          <w:bCs w:val="0"/>
          <w:sz w:val="22"/>
          <w:szCs w:val="22"/>
        </w:rPr>
      </w:pPr>
      <w:hyperlink w:anchor="_Toc105753601" w:history="1">
        <w:r w:rsidR="00891B0D" w:rsidRPr="005923AF">
          <w:rPr>
            <w:rStyle w:val="Hyperlink"/>
          </w:rPr>
          <w:t>8.</w:t>
        </w:r>
        <w:r w:rsidR="00891B0D">
          <w:rPr>
            <w:rFonts w:asciiTheme="minorHAnsi" w:eastAsiaTheme="minorEastAsia" w:hAnsiTheme="minorHAnsi" w:cstheme="minorBidi"/>
            <w:b w:val="0"/>
            <w:bCs w:val="0"/>
            <w:sz w:val="22"/>
            <w:szCs w:val="22"/>
          </w:rPr>
          <w:tab/>
        </w:r>
        <w:r w:rsidR="00891B0D" w:rsidRPr="005923AF">
          <w:rPr>
            <w:rStyle w:val="Hyperlink"/>
          </w:rPr>
          <w:t>Refunding Fees</w:t>
        </w:r>
        <w:r w:rsidR="00891B0D">
          <w:rPr>
            <w:webHidden/>
          </w:rPr>
          <w:tab/>
        </w:r>
        <w:r w:rsidR="00891B0D">
          <w:rPr>
            <w:webHidden/>
          </w:rPr>
          <w:fldChar w:fldCharType="begin"/>
        </w:r>
        <w:r w:rsidR="00891B0D">
          <w:rPr>
            <w:webHidden/>
          </w:rPr>
          <w:instrText xml:space="preserve"> PAGEREF _Toc105753601 \h </w:instrText>
        </w:r>
        <w:r w:rsidR="00891B0D">
          <w:rPr>
            <w:webHidden/>
          </w:rPr>
        </w:r>
        <w:r w:rsidR="00891B0D">
          <w:rPr>
            <w:webHidden/>
          </w:rPr>
          <w:fldChar w:fldCharType="separate"/>
        </w:r>
        <w:r w:rsidR="00891B0D">
          <w:rPr>
            <w:webHidden/>
          </w:rPr>
          <w:t>14</w:t>
        </w:r>
        <w:r w:rsidR="00891B0D">
          <w:rPr>
            <w:webHidden/>
          </w:rPr>
          <w:fldChar w:fldCharType="end"/>
        </w:r>
      </w:hyperlink>
    </w:p>
    <w:p w14:paraId="7D338BFD" w14:textId="22DF1FE0" w:rsidR="00891B0D" w:rsidRDefault="00B62FAD">
      <w:pPr>
        <w:pStyle w:val="TOC1"/>
        <w:rPr>
          <w:rFonts w:asciiTheme="minorHAnsi" w:eastAsiaTheme="minorEastAsia" w:hAnsiTheme="minorHAnsi" w:cstheme="minorBidi"/>
          <w:b w:val="0"/>
          <w:bCs w:val="0"/>
          <w:sz w:val="22"/>
          <w:szCs w:val="22"/>
        </w:rPr>
      </w:pPr>
      <w:hyperlink w:anchor="_Toc105753602" w:history="1">
        <w:r w:rsidR="00891B0D" w:rsidRPr="005923AF">
          <w:rPr>
            <w:rStyle w:val="Hyperlink"/>
          </w:rPr>
          <w:t>9.</w:t>
        </w:r>
        <w:r w:rsidR="00891B0D">
          <w:rPr>
            <w:rFonts w:asciiTheme="minorHAnsi" w:eastAsiaTheme="minorEastAsia" w:hAnsiTheme="minorHAnsi" w:cstheme="minorBidi"/>
            <w:b w:val="0"/>
            <w:bCs w:val="0"/>
            <w:sz w:val="22"/>
            <w:szCs w:val="22"/>
          </w:rPr>
          <w:tab/>
        </w:r>
        <w:r w:rsidR="00891B0D" w:rsidRPr="005923AF">
          <w:rPr>
            <w:rStyle w:val="Hyperlink"/>
          </w:rPr>
          <w:t>Academic Progress</w:t>
        </w:r>
        <w:r w:rsidR="00891B0D">
          <w:rPr>
            <w:webHidden/>
          </w:rPr>
          <w:tab/>
        </w:r>
        <w:r w:rsidR="00891B0D">
          <w:rPr>
            <w:webHidden/>
          </w:rPr>
          <w:fldChar w:fldCharType="begin"/>
        </w:r>
        <w:r w:rsidR="00891B0D">
          <w:rPr>
            <w:webHidden/>
          </w:rPr>
          <w:instrText xml:space="preserve"> PAGEREF _Toc105753602 \h </w:instrText>
        </w:r>
        <w:r w:rsidR="00891B0D">
          <w:rPr>
            <w:webHidden/>
          </w:rPr>
        </w:r>
        <w:r w:rsidR="00891B0D">
          <w:rPr>
            <w:webHidden/>
          </w:rPr>
          <w:fldChar w:fldCharType="separate"/>
        </w:r>
        <w:r w:rsidR="00891B0D">
          <w:rPr>
            <w:webHidden/>
          </w:rPr>
          <w:t>17</w:t>
        </w:r>
        <w:r w:rsidR="00891B0D">
          <w:rPr>
            <w:webHidden/>
          </w:rPr>
          <w:fldChar w:fldCharType="end"/>
        </w:r>
      </w:hyperlink>
    </w:p>
    <w:p w14:paraId="3D8E61C5" w14:textId="4F58A4A3" w:rsidR="00891B0D" w:rsidRDefault="00B62FAD">
      <w:pPr>
        <w:pStyle w:val="TOC1"/>
        <w:rPr>
          <w:rFonts w:asciiTheme="minorHAnsi" w:eastAsiaTheme="minorEastAsia" w:hAnsiTheme="minorHAnsi" w:cstheme="minorBidi"/>
          <w:b w:val="0"/>
          <w:bCs w:val="0"/>
          <w:sz w:val="22"/>
          <w:szCs w:val="22"/>
        </w:rPr>
      </w:pPr>
      <w:hyperlink w:anchor="_Toc105753603" w:history="1">
        <w:r w:rsidR="00891B0D" w:rsidRPr="005923AF">
          <w:rPr>
            <w:rStyle w:val="Hyperlink"/>
          </w:rPr>
          <w:t>10.</w:t>
        </w:r>
        <w:r w:rsidR="00891B0D">
          <w:rPr>
            <w:rFonts w:asciiTheme="minorHAnsi" w:eastAsiaTheme="minorEastAsia" w:hAnsiTheme="minorHAnsi" w:cstheme="minorBidi"/>
            <w:b w:val="0"/>
            <w:bCs w:val="0"/>
            <w:sz w:val="22"/>
            <w:szCs w:val="22"/>
          </w:rPr>
          <w:tab/>
        </w:r>
        <w:r w:rsidR="00891B0D" w:rsidRPr="005923AF">
          <w:rPr>
            <w:rStyle w:val="Hyperlink"/>
          </w:rPr>
          <w:t>Assessment and Moderation</w:t>
        </w:r>
        <w:r w:rsidR="00891B0D">
          <w:rPr>
            <w:webHidden/>
          </w:rPr>
          <w:tab/>
        </w:r>
        <w:r w:rsidR="00891B0D">
          <w:rPr>
            <w:webHidden/>
          </w:rPr>
          <w:fldChar w:fldCharType="begin"/>
        </w:r>
        <w:r w:rsidR="00891B0D">
          <w:rPr>
            <w:webHidden/>
          </w:rPr>
          <w:instrText xml:space="preserve"> PAGEREF _Toc105753603 \h </w:instrText>
        </w:r>
        <w:r w:rsidR="00891B0D">
          <w:rPr>
            <w:webHidden/>
          </w:rPr>
        </w:r>
        <w:r w:rsidR="00891B0D">
          <w:rPr>
            <w:webHidden/>
          </w:rPr>
          <w:fldChar w:fldCharType="separate"/>
        </w:r>
        <w:r w:rsidR="00891B0D">
          <w:rPr>
            <w:webHidden/>
          </w:rPr>
          <w:t>18</w:t>
        </w:r>
        <w:r w:rsidR="00891B0D">
          <w:rPr>
            <w:webHidden/>
          </w:rPr>
          <w:fldChar w:fldCharType="end"/>
        </w:r>
      </w:hyperlink>
    </w:p>
    <w:p w14:paraId="1A499BF5" w14:textId="64D659B1" w:rsidR="00891B0D" w:rsidRDefault="00B62FAD">
      <w:pPr>
        <w:pStyle w:val="TOC1"/>
        <w:rPr>
          <w:rFonts w:asciiTheme="minorHAnsi" w:eastAsiaTheme="minorEastAsia" w:hAnsiTheme="minorHAnsi" w:cstheme="minorBidi"/>
          <w:b w:val="0"/>
          <w:bCs w:val="0"/>
          <w:sz w:val="22"/>
          <w:szCs w:val="22"/>
        </w:rPr>
      </w:pPr>
      <w:hyperlink w:anchor="_Toc105753604" w:history="1">
        <w:r w:rsidR="00891B0D" w:rsidRPr="005923AF">
          <w:rPr>
            <w:rStyle w:val="Hyperlink"/>
          </w:rPr>
          <w:t>11.</w:t>
        </w:r>
        <w:r w:rsidR="00891B0D">
          <w:rPr>
            <w:rFonts w:asciiTheme="minorHAnsi" w:eastAsiaTheme="minorEastAsia" w:hAnsiTheme="minorHAnsi" w:cstheme="minorBidi"/>
            <w:b w:val="0"/>
            <w:bCs w:val="0"/>
            <w:sz w:val="22"/>
            <w:szCs w:val="22"/>
          </w:rPr>
          <w:tab/>
        </w:r>
        <w:r w:rsidR="00891B0D" w:rsidRPr="005923AF">
          <w:rPr>
            <w:rStyle w:val="Hyperlink"/>
          </w:rPr>
          <w:t xml:space="preserve">Recognition of Prior </w:t>
        </w:r>
        <w:r w:rsidR="00891B0D" w:rsidRPr="005923AF">
          <w:rPr>
            <w:rStyle w:val="Hyperlink"/>
            <w:rFonts w:eastAsiaTheme="majorEastAsia"/>
          </w:rPr>
          <w:t>Learning</w:t>
        </w:r>
        <w:r w:rsidR="00891B0D" w:rsidRPr="005923AF">
          <w:rPr>
            <w:rStyle w:val="Hyperlink"/>
          </w:rPr>
          <w:t xml:space="preserve"> and Credit Transfer</w:t>
        </w:r>
        <w:r w:rsidR="00891B0D">
          <w:rPr>
            <w:webHidden/>
          </w:rPr>
          <w:tab/>
        </w:r>
        <w:r w:rsidR="00891B0D">
          <w:rPr>
            <w:webHidden/>
          </w:rPr>
          <w:fldChar w:fldCharType="begin"/>
        </w:r>
        <w:r w:rsidR="00891B0D">
          <w:rPr>
            <w:webHidden/>
          </w:rPr>
          <w:instrText xml:space="preserve"> PAGEREF _Toc105753604 \h </w:instrText>
        </w:r>
        <w:r w:rsidR="00891B0D">
          <w:rPr>
            <w:webHidden/>
          </w:rPr>
        </w:r>
        <w:r w:rsidR="00891B0D">
          <w:rPr>
            <w:webHidden/>
          </w:rPr>
          <w:fldChar w:fldCharType="separate"/>
        </w:r>
        <w:r w:rsidR="00891B0D">
          <w:rPr>
            <w:webHidden/>
          </w:rPr>
          <w:t>24</w:t>
        </w:r>
        <w:r w:rsidR="00891B0D">
          <w:rPr>
            <w:webHidden/>
          </w:rPr>
          <w:fldChar w:fldCharType="end"/>
        </w:r>
      </w:hyperlink>
    </w:p>
    <w:p w14:paraId="14F0D43B" w14:textId="2C751CBE" w:rsidR="00891B0D" w:rsidRDefault="00B62FAD">
      <w:pPr>
        <w:pStyle w:val="TOC1"/>
        <w:rPr>
          <w:rFonts w:asciiTheme="minorHAnsi" w:eastAsiaTheme="minorEastAsia" w:hAnsiTheme="minorHAnsi" w:cstheme="minorBidi"/>
          <w:b w:val="0"/>
          <w:bCs w:val="0"/>
          <w:sz w:val="22"/>
          <w:szCs w:val="22"/>
        </w:rPr>
      </w:pPr>
      <w:hyperlink w:anchor="_Toc105753605" w:history="1">
        <w:r w:rsidR="00891B0D" w:rsidRPr="005923AF">
          <w:rPr>
            <w:rStyle w:val="Hyperlink"/>
          </w:rPr>
          <w:t>12.</w:t>
        </w:r>
        <w:r w:rsidR="00891B0D">
          <w:rPr>
            <w:rFonts w:asciiTheme="minorHAnsi" w:eastAsiaTheme="minorEastAsia" w:hAnsiTheme="minorHAnsi" w:cstheme="minorBidi"/>
            <w:b w:val="0"/>
            <w:bCs w:val="0"/>
            <w:sz w:val="22"/>
            <w:szCs w:val="22"/>
          </w:rPr>
          <w:tab/>
        </w:r>
        <w:r w:rsidR="00891B0D" w:rsidRPr="005923AF">
          <w:rPr>
            <w:rStyle w:val="Hyperlink"/>
          </w:rPr>
          <w:t xml:space="preserve">Assessment </w:t>
        </w:r>
        <w:r w:rsidR="00891B0D" w:rsidRPr="005923AF">
          <w:rPr>
            <w:rStyle w:val="Hyperlink"/>
            <w:rFonts w:eastAsiaTheme="majorEastAsia"/>
          </w:rPr>
          <w:t>of</w:t>
        </w:r>
        <w:r w:rsidR="00891B0D" w:rsidRPr="005923AF">
          <w:rPr>
            <w:rStyle w:val="Hyperlink"/>
          </w:rPr>
          <w:t xml:space="preserve"> </w:t>
        </w:r>
        <w:r w:rsidR="00891B0D" w:rsidRPr="005923AF">
          <w:rPr>
            <w:rStyle w:val="Hyperlink"/>
            <w:rFonts w:eastAsiaTheme="majorEastAsia"/>
          </w:rPr>
          <w:t>Prior</w:t>
        </w:r>
        <w:r w:rsidR="00891B0D" w:rsidRPr="005923AF">
          <w:rPr>
            <w:rStyle w:val="Hyperlink"/>
          </w:rPr>
          <w:t xml:space="preserve"> Learning (APL) / Recognition of Current Competency (RCC)</w:t>
        </w:r>
        <w:r w:rsidR="00891B0D">
          <w:rPr>
            <w:webHidden/>
          </w:rPr>
          <w:tab/>
        </w:r>
        <w:r w:rsidR="00891B0D">
          <w:rPr>
            <w:webHidden/>
          </w:rPr>
          <w:fldChar w:fldCharType="begin"/>
        </w:r>
        <w:r w:rsidR="00891B0D">
          <w:rPr>
            <w:webHidden/>
          </w:rPr>
          <w:instrText xml:space="preserve"> PAGEREF _Toc105753605 \h </w:instrText>
        </w:r>
        <w:r w:rsidR="00891B0D">
          <w:rPr>
            <w:webHidden/>
          </w:rPr>
        </w:r>
        <w:r w:rsidR="00891B0D">
          <w:rPr>
            <w:webHidden/>
          </w:rPr>
          <w:fldChar w:fldCharType="separate"/>
        </w:r>
        <w:r w:rsidR="00891B0D">
          <w:rPr>
            <w:webHidden/>
          </w:rPr>
          <w:t>26</w:t>
        </w:r>
        <w:r w:rsidR="00891B0D">
          <w:rPr>
            <w:webHidden/>
          </w:rPr>
          <w:fldChar w:fldCharType="end"/>
        </w:r>
      </w:hyperlink>
    </w:p>
    <w:p w14:paraId="760AA72F" w14:textId="125F86BC" w:rsidR="00891B0D" w:rsidRDefault="00B62FAD">
      <w:pPr>
        <w:pStyle w:val="TOC1"/>
        <w:rPr>
          <w:rFonts w:asciiTheme="minorHAnsi" w:eastAsiaTheme="minorEastAsia" w:hAnsiTheme="minorHAnsi" w:cstheme="minorBidi"/>
          <w:b w:val="0"/>
          <w:bCs w:val="0"/>
          <w:sz w:val="22"/>
          <w:szCs w:val="22"/>
        </w:rPr>
      </w:pPr>
      <w:hyperlink w:anchor="_Toc105753606" w:history="1">
        <w:r w:rsidR="00891B0D" w:rsidRPr="005923AF">
          <w:rPr>
            <w:rStyle w:val="Hyperlink"/>
          </w:rPr>
          <w:t>13.</w:t>
        </w:r>
        <w:r w:rsidR="00891B0D">
          <w:rPr>
            <w:rFonts w:asciiTheme="minorHAnsi" w:eastAsiaTheme="minorEastAsia" w:hAnsiTheme="minorHAnsi" w:cstheme="minorBidi"/>
            <w:b w:val="0"/>
            <w:bCs w:val="0"/>
            <w:sz w:val="22"/>
            <w:szCs w:val="22"/>
          </w:rPr>
          <w:tab/>
        </w:r>
        <w:r w:rsidR="00891B0D" w:rsidRPr="005923AF">
          <w:rPr>
            <w:rStyle w:val="Hyperlink"/>
          </w:rPr>
          <w:t>Misbehaviour and Misconduct</w:t>
        </w:r>
        <w:r w:rsidR="00891B0D">
          <w:rPr>
            <w:webHidden/>
          </w:rPr>
          <w:tab/>
        </w:r>
        <w:r w:rsidR="00891B0D">
          <w:rPr>
            <w:webHidden/>
          </w:rPr>
          <w:fldChar w:fldCharType="begin"/>
        </w:r>
        <w:r w:rsidR="00891B0D">
          <w:rPr>
            <w:webHidden/>
          </w:rPr>
          <w:instrText xml:space="preserve"> PAGEREF _Toc105753606 \h </w:instrText>
        </w:r>
        <w:r w:rsidR="00891B0D">
          <w:rPr>
            <w:webHidden/>
          </w:rPr>
        </w:r>
        <w:r w:rsidR="00891B0D">
          <w:rPr>
            <w:webHidden/>
          </w:rPr>
          <w:fldChar w:fldCharType="separate"/>
        </w:r>
        <w:r w:rsidR="00891B0D">
          <w:rPr>
            <w:webHidden/>
          </w:rPr>
          <w:t>26</w:t>
        </w:r>
        <w:r w:rsidR="00891B0D">
          <w:rPr>
            <w:webHidden/>
          </w:rPr>
          <w:fldChar w:fldCharType="end"/>
        </w:r>
      </w:hyperlink>
    </w:p>
    <w:p w14:paraId="11BCA86B" w14:textId="62200E0F" w:rsidR="00891B0D" w:rsidRDefault="00B62FAD">
      <w:pPr>
        <w:pStyle w:val="TOC1"/>
        <w:rPr>
          <w:rFonts w:asciiTheme="minorHAnsi" w:eastAsiaTheme="minorEastAsia" w:hAnsiTheme="minorHAnsi" w:cstheme="minorBidi"/>
          <w:b w:val="0"/>
          <w:bCs w:val="0"/>
          <w:sz w:val="22"/>
          <w:szCs w:val="22"/>
        </w:rPr>
      </w:pPr>
      <w:hyperlink w:anchor="_Toc105753607" w:history="1">
        <w:r w:rsidR="00891B0D" w:rsidRPr="005923AF">
          <w:rPr>
            <w:rStyle w:val="Hyperlink"/>
          </w:rPr>
          <w:t>14.</w:t>
        </w:r>
        <w:r w:rsidR="00891B0D">
          <w:rPr>
            <w:rFonts w:asciiTheme="minorHAnsi" w:eastAsiaTheme="minorEastAsia" w:hAnsiTheme="minorHAnsi" w:cstheme="minorBidi"/>
            <w:b w:val="0"/>
            <w:bCs w:val="0"/>
            <w:sz w:val="22"/>
            <w:szCs w:val="22"/>
          </w:rPr>
          <w:tab/>
        </w:r>
        <w:r w:rsidR="00891B0D" w:rsidRPr="005923AF">
          <w:rPr>
            <w:rStyle w:val="Hyperlink"/>
          </w:rPr>
          <w:t>Privacy</w:t>
        </w:r>
        <w:r w:rsidR="00891B0D">
          <w:rPr>
            <w:webHidden/>
          </w:rPr>
          <w:tab/>
        </w:r>
        <w:r w:rsidR="00891B0D">
          <w:rPr>
            <w:webHidden/>
          </w:rPr>
          <w:fldChar w:fldCharType="begin"/>
        </w:r>
        <w:r w:rsidR="00891B0D">
          <w:rPr>
            <w:webHidden/>
          </w:rPr>
          <w:instrText xml:space="preserve"> PAGEREF _Toc105753607 \h </w:instrText>
        </w:r>
        <w:r w:rsidR="00891B0D">
          <w:rPr>
            <w:webHidden/>
          </w:rPr>
        </w:r>
        <w:r w:rsidR="00891B0D">
          <w:rPr>
            <w:webHidden/>
          </w:rPr>
          <w:fldChar w:fldCharType="separate"/>
        </w:r>
        <w:r w:rsidR="00891B0D">
          <w:rPr>
            <w:webHidden/>
          </w:rPr>
          <w:t>31</w:t>
        </w:r>
        <w:r w:rsidR="00891B0D">
          <w:rPr>
            <w:webHidden/>
          </w:rPr>
          <w:fldChar w:fldCharType="end"/>
        </w:r>
      </w:hyperlink>
    </w:p>
    <w:p w14:paraId="0D95CB8B" w14:textId="1D56C470" w:rsidR="00891B0D" w:rsidRDefault="00B62FAD">
      <w:pPr>
        <w:pStyle w:val="TOC1"/>
        <w:rPr>
          <w:rFonts w:asciiTheme="minorHAnsi" w:eastAsiaTheme="minorEastAsia" w:hAnsiTheme="minorHAnsi" w:cstheme="minorBidi"/>
          <w:b w:val="0"/>
          <w:bCs w:val="0"/>
          <w:sz w:val="22"/>
          <w:szCs w:val="22"/>
        </w:rPr>
      </w:pPr>
      <w:hyperlink w:anchor="_Toc105753608" w:history="1">
        <w:r w:rsidR="00891B0D" w:rsidRPr="005923AF">
          <w:rPr>
            <w:rStyle w:val="Hyperlink"/>
          </w:rPr>
          <w:t>15.</w:t>
        </w:r>
        <w:r w:rsidR="00891B0D">
          <w:rPr>
            <w:rFonts w:asciiTheme="minorHAnsi" w:eastAsiaTheme="minorEastAsia" w:hAnsiTheme="minorHAnsi" w:cstheme="minorBidi"/>
            <w:b w:val="0"/>
            <w:bCs w:val="0"/>
            <w:sz w:val="22"/>
            <w:szCs w:val="22"/>
          </w:rPr>
          <w:tab/>
        </w:r>
        <w:r w:rsidR="00891B0D" w:rsidRPr="005923AF">
          <w:rPr>
            <w:rStyle w:val="Hyperlink"/>
          </w:rPr>
          <w:t>Learner Support</w:t>
        </w:r>
        <w:r w:rsidR="00891B0D">
          <w:rPr>
            <w:webHidden/>
          </w:rPr>
          <w:tab/>
        </w:r>
        <w:r w:rsidR="00891B0D">
          <w:rPr>
            <w:webHidden/>
          </w:rPr>
          <w:fldChar w:fldCharType="begin"/>
        </w:r>
        <w:r w:rsidR="00891B0D">
          <w:rPr>
            <w:webHidden/>
          </w:rPr>
          <w:instrText xml:space="preserve"> PAGEREF _Toc105753608 \h </w:instrText>
        </w:r>
        <w:r w:rsidR="00891B0D">
          <w:rPr>
            <w:webHidden/>
          </w:rPr>
        </w:r>
        <w:r w:rsidR="00891B0D">
          <w:rPr>
            <w:webHidden/>
          </w:rPr>
          <w:fldChar w:fldCharType="separate"/>
        </w:r>
        <w:r w:rsidR="00891B0D">
          <w:rPr>
            <w:webHidden/>
          </w:rPr>
          <w:t>31</w:t>
        </w:r>
        <w:r w:rsidR="00891B0D">
          <w:rPr>
            <w:webHidden/>
          </w:rPr>
          <w:fldChar w:fldCharType="end"/>
        </w:r>
      </w:hyperlink>
    </w:p>
    <w:p w14:paraId="46AE4F97" w14:textId="2F3EDF19" w:rsidR="00891B0D" w:rsidRDefault="00B62FAD">
      <w:pPr>
        <w:pStyle w:val="TOC1"/>
        <w:rPr>
          <w:rFonts w:asciiTheme="minorHAnsi" w:eastAsiaTheme="minorEastAsia" w:hAnsiTheme="minorHAnsi" w:cstheme="minorBidi"/>
          <w:b w:val="0"/>
          <w:bCs w:val="0"/>
          <w:sz w:val="22"/>
          <w:szCs w:val="22"/>
        </w:rPr>
      </w:pPr>
      <w:hyperlink w:anchor="_Toc105753609" w:history="1">
        <w:r w:rsidR="00891B0D" w:rsidRPr="005923AF">
          <w:rPr>
            <w:rStyle w:val="Hyperlink"/>
          </w:rPr>
          <w:t>16.</w:t>
        </w:r>
        <w:r w:rsidR="00891B0D">
          <w:rPr>
            <w:rFonts w:asciiTheme="minorHAnsi" w:eastAsiaTheme="minorEastAsia" w:hAnsiTheme="minorHAnsi" w:cstheme="minorBidi"/>
            <w:b w:val="0"/>
            <w:bCs w:val="0"/>
            <w:sz w:val="22"/>
            <w:szCs w:val="22"/>
          </w:rPr>
          <w:tab/>
        </w:r>
        <w:r w:rsidR="00891B0D" w:rsidRPr="005923AF">
          <w:rPr>
            <w:rStyle w:val="Hyperlink"/>
          </w:rPr>
          <w:t>Intellectual Property</w:t>
        </w:r>
        <w:r w:rsidR="00891B0D">
          <w:rPr>
            <w:webHidden/>
          </w:rPr>
          <w:tab/>
        </w:r>
        <w:r w:rsidR="00891B0D">
          <w:rPr>
            <w:webHidden/>
          </w:rPr>
          <w:fldChar w:fldCharType="begin"/>
        </w:r>
        <w:r w:rsidR="00891B0D">
          <w:rPr>
            <w:webHidden/>
          </w:rPr>
          <w:instrText xml:space="preserve"> PAGEREF _Toc105753609 \h </w:instrText>
        </w:r>
        <w:r w:rsidR="00891B0D">
          <w:rPr>
            <w:webHidden/>
          </w:rPr>
        </w:r>
        <w:r w:rsidR="00891B0D">
          <w:rPr>
            <w:webHidden/>
          </w:rPr>
          <w:fldChar w:fldCharType="separate"/>
        </w:r>
        <w:r w:rsidR="00891B0D">
          <w:rPr>
            <w:webHidden/>
          </w:rPr>
          <w:t>33</w:t>
        </w:r>
        <w:r w:rsidR="00891B0D">
          <w:rPr>
            <w:webHidden/>
          </w:rPr>
          <w:fldChar w:fldCharType="end"/>
        </w:r>
      </w:hyperlink>
    </w:p>
    <w:p w14:paraId="28302142" w14:textId="1E4F0B97" w:rsidR="00891B0D" w:rsidRDefault="00B62FAD">
      <w:pPr>
        <w:pStyle w:val="TOC1"/>
        <w:rPr>
          <w:rFonts w:asciiTheme="minorHAnsi" w:eastAsiaTheme="minorEastAsia" w:hAnsiTheme="minorHAnsi" w:cstheme="minorBidi"/>
          <w:b w:val="0"/>
          <w:bCs w:val="0"/>
          <w:sz w:val="22"/>
          <w:szCs w:val="22"/>
        </w:rPr>
      </w:pPr>
      <w:hyperlink w:anchor="_Toc105753610" w:history="1">
        <w:r w:rsidR="00891B0D" w:rsidRPr="005923AF">
          <w:rPr>
            <w:rStyle w:val="Hyperlink"/>
          </w:rPr>
          <w:t>17.</w:t>
        </w:r>
        <w:r w:rsidR="00891B0D">
          <w:rPr>
            <w:rFonts w:asciiTheme="minorHAnsi" w:eastAsiaTheme="minorEastAsia" w:hAnsiTheme="minorHAnsi" w:cstheme="minorBidi"/>
            <w:b w:val="0"/>
            <w:bCs w:val="0"/>
            <w:sz w:val="22"/>
            <w:szCs w:val="22"/>
          </w:rPr>
          <w:tab/>
        </w:r>
        <w:r w:rsidR="00891B0D" w:rsidRPr="005923AF">
          <w:rPr>
            <w:rStyle w:val="Hyperlink"/>
          </w:rPr>
          <w:t>Information and Communications Technology Use</w:t>
        </w:r>
        <w:r w:rsidR="00891B0D">
          <w:rPr>
            <w:webHidden/>
          </w:rPr>
          <w:tab/>
        </w:r>
        <w:r w:rsidR="00891B0D">
          <w:rPr>
            <w:webHidden/>
          </w:rPr>
          <w:fldChar w:fldCharType="begin"/>
        </w:r>
        <w:r w:rsidR="00891B0D">
          <w:rPr>
            <w:webHidden/>
          </w:rPr>
          <w:instrText xml:space="preserve"> PAGEREF _Toc105753610 \h </w:instrText>
        </w:r>
        <w:r w:rsidR="00891B0D">
          <w:rPr>
            <w:webHidden/>
          </w:rPr>
        </w:r>
        <w:r w:rsidR="00891B0D">
          <w:rPr>
            <w:webHidden/>
          </w:rPr>
          <w:fldChar w:fldCharType="separate"/>
        </w:r>
        <w:r w:rsidR="00891B0D">
          <w:rPr>
            <w:webHidden/>
          </w:rPr>
          <w:t>33</w:t>
        </w:r>
        <w:r w:rsidR="00891B0D">
          <w:rPr>
            <w:webHidden/>
          </w:rPr>
          <w:fldChar w:fldCharType="end"/>
        </w:r>
      </w:hyperlink>
    </w:p>
    <w:p w14:paraId="5978ACCE" w14:textId="467D28E0" w:rsidR="00891B0D" w:rsidRDefault="00B62FAD">
      <w:pPr>
        <w:pStyle w:val="TOC1"/>
        <w:rPr>
          <w:rFonts w:asciiTheme="minorHAnsi" w:eastAsiaTheme="minorEastAsia" w:hAnsiTheme="minorHAnsi" w:cstheme="minorBidi"/>
          <w:b w:val="0"/>
          <w:bCs w:val="0"/>
          <w:sz w:val="22"/>
          <w:szCs w:val="22"/>
        </w:rPr>
      </w:pPr>
      <w:hyperlink w:anchor="_Toc105753611" w:history="1">
        <w:r w:rsidR="00891B0D" w:rsidRPr="005923AF">
          <w:rPr>
            <w:rStyle w:val="Hyperlink"/>
          </w:rPr>
          <w:t>18.</w:t>
        </w:r>
        <w:r w:rsidR="00891B0D">
          <w:rPr>
            <w:rFonts w:asciiTheme="minorHAnsi" w:eastAsiaTheme="minorEastAsia" w:hAnsiTheme="minorHAnsi" w:cstheme="minorBidi"/>
            <w:b w:val="0"/>
            <w:bCs w:val="0"/>
            <w:sz w:val="22"/>
            <w:szCs w:val="22"/>
          </w:rPr>
          <w:tab/>
        </w:r>
        <w:r w:rsidR="00891B0D" w:rsidRPr="005923AF">
          <w:rPr>
            <w:rStyle w:val="Hyperlink"/>
          </w:rPr>
          <w:t>Health, Safety and Wellbeing</w:t>
        </w:r>
        <w:r w:rsidR="00891B0D">
          <w:rPr>
            <w:webHidden/>
          </w:rPr>
          <w:tab/>
        </w:r>
        <w:r w:rsidR="00891B0D">
          <w:rPr>
            <w:webHidden/>
          </w:rPr>
          <w:fldChar w:fldCharType="begin"/>
        </w:r>
        <w:r w:rsidR="00891B0D">
          <w:rPr>
            <w:webHidden/>
          </w:rPr>
          <w:instrText xml:space="preserve"> PAGEREF _Toc105753611 \h </w:instrText>
        </w:r>
        <w:r w:rsidR="00891B0D">
          <w:rPr>
            <w:webHidden/>
          </w:rPr>
        </w:r>
        <w:r w:rsidR="00891B0D">
          <w:rPr>
            <w:webHidden/>
          </w:rPr>
          <w:fldChar w:fldCharType="separate"/>
        </w:r>
        <w:r w:rsidR="00891B0D">
          <w:rPr>
            <w:webHidden/>
          </w:rPr>
          <w:t>34</w:t>
        </w:r>
        <w:r w:rsidR="00891B0D">
          <w:rPr>
            <w:webHidden/>
          </w:rPr>
          <w:fldChar w:fldCharType="end"/>
        </w:r>
      </w:hyperlink>
    </w:p>
    <w:p w14:paraId="058A2DC9" w14:textId="1FB28A01" w:rsidR="00891B0D" w:rsidRDefault="00B62FAD">
      <w:pPr>
        <w:pStyle w:val="TOC1"/>
        <w:rPr>
          <w:rFonts w:asciiTheme="minorHAnsi" w:eastAsiaTheme="minorEastAsia" w:hAnsiTheme="minorHAnsi" w:cstheme="minorBidi"/>
          <w:b w:val="0"/>
          <w:bCs w:val="0"/>
          <w:sz w:val="22"/>
          <w:szCs w:val="22"/>
        </w:rPr>
      </w:pPr>
      <w:hyperlink w:anchor="_Toc105753612" w:history="1">
        <w:r w:rsidR="00891B0D" w:rsidRPr="005923AF">
          <w:rPr>
            <w:rStyle w:val="Hyperlink"/>
          </w:rPr>
          <w:t>19.</w:t>
        </w:r>
        <w:r w:rsidR="00891B0D">
          <w:rPr>
            <w:rFonts w:asciiTheme="minorHAnsi" w:eastAsiaTheme="minorEastAsia" w:hAnsiTheme="minorHAnsi" w:cstheme="minorBidi"/>
            <w:b w:val="0"/>
            <w:bCs w:val="0"/>
            <w:sz w:val="22"/>
            <w:szCs w:val="22"/>
          </w:rPr>
          <w:tab/>
        </w:r>
        <w:r w:rsidR="00891B0D" w:rsidRPr="005923AF">
          <w:rPr>
            <w:rStyle w:val="Hyperlink"/>
          </w:rPr>
          <w:t>Dealing with Harassment, Bullying and Discrimination</w:t>
        </w:r>
        <w:r w:rsidR="00891B0D">
          <w:rPr>
            <w:webHidden/>
          </w:rPr>
          <w:tab/>
        </w:r>
        <w:r w:rsidR="00891B0D">
          <w:rPr>
            <w:webHidden/>
          </w:rPr>
          <w:fldChar w:fldCharType="begin"/>
        </w:r>
        <w:r w:rsidR="00891B0D">
          <w:rPr>
            <w:webHidden/>
          </w:rPr>
          <w:instrText xml:space="preserve"> PAGEREF _Toc105753612 \h </w:instrText>
        </w:r>
        <w:r w:rsidR="00891B0D">
          <w:rPr>
            <w:webHidden/>
          </w:rPr>
        </w:r>
        <w:r w:rsidR="00891B0D">
          <w:rPr>
            <w:webHidden/>
          </w:rPr>
          <w:fldChar w:fldCharType="separate"/>
        </w:r>
        <w:r w:rsidR="00891B0D">
          <w:rPr>
            <w:webHidden/>
          </w:rPr>
          <w:t>34</w:t>
        </w:r>
        <w:r w:rsidR="00891B0D">
          <w:rPr>
            <w:webHidden/>
          </w:rPr>
          <w:fldChar w:fldCharType="end"/>
        </w:r>
      </w:hyperlink>
    </w:p>
    <w:p w14:paraId="210B2E6B" w14:textId="5A0B9C8F" w:rsidR="00891B0D" w:rsidRDefault="00B62FAD">
      <w:pPr>
        <w:pStyle w:val="TOC1"/>
        <w:rPr>
          <w:rFonts w:asciiTheme="minorHAnsi" w:eastAsiaTheme="minorEastAsia" w:hAnsiTheme="minorHAnsi" w:cstheme="minorBidi"/>
          <w:b w:val="0"/>
          <w:bCs w:val="0"/>
          <w:sz w:val="22"/>
          <w:szCs w:val="22"/>
        </w:rPr>
      </w:pPr>
      <w:hyperlink w:anchor="_Toc105753613" w:history="1">
        <w:r w:rsidR="00891B0D" w:rsidRPr="005923AF">
          <w:rPr>
            <w:rStyle w:val="Hyperlink"/>
          </w:rPr>
          <w:t>20.</w:t>
        </w:r>
        <w:r w:rsidR="00891B0D">
          <w:rPr>
            <w:rFonts w:asciiTheme="minorHAnsi" w:eastAsiaTheme="minorEastAsia" w:hAnsiTheme="minorHAnsi" w:cstheme="minorBidi"/>
            <w:b w:val="0"/>
            <w:bCs w:val="0"/>
            <w:sz w:val="22"/>
            <w:szCs w:val="22"/>
          </w:rPr>
          <w:tab/>
        </w:r>
        <w:r w:rsidR="00891B0D" w:rsidRPr="005923AF">
          <w:rPr>
            <w:rStyle w:val="Hyperlink"/>
          </w:rPr>
          <w:t>Concerns, Complaints and Disputes Resolution</w:t>
        </w:r>
        <w:r w:rsidR="00891B0D">
          <w:rPr>
            <w:webHidden/>
          </w:rPr>
          <w:tab/>
        </w:r>
        <w:r w:rsidR="00891B0D">
          <w:rPr>
            <w:webHidden/>
          </w:rPr>
          <w:fldChar w:fldCharType="begin"/>
        </w:r>
        <w:r w:rsidR="00891B0D">
          <w:rPr>
            <w:webHidden/>
          </w:rPr>
          <w:instrText xml:space="preserve"> PAGEREF _Toc105753613 \h </w:instrText>
        </w:r>
        <w:r w:rsidR="00891B0D">
          <w:rPr>
            <w:webHidden/>
          </w:rPr>
        </w:r>
        <w:r w:rsidR="00891B0D">
          <w:rPr>
            <w:webHidden/>
          </w:rPr>
          <w:fldChar w:fldCharType="separate"/>
        </w:r>
        <w:r w:rsidR="00891B0D">
          <w:rPr>
            <w:webHidden/>
          </w:rPr>
          <w:t>35</w:t>
        </w:r>
        <w:r w:rsidR="00891B0D">
          <w:rPr>
            <w:webHidden/>
          </w:rPr>
          <w:fldChar w:fldCharType="end"/>
        </w:r>
      </w:hyperlink>
    </w:p>
    <w:p w14:paraId="450093C4" w14:textId="59990BC5" w:rsidR="00891B0D" w:rsidRDefault="00B62FAD">
      <w:pPr>
        <w:pStyle w:val="TOC1"/>
        <w:rPr>
          <w:rFonts w:asciiTheme="minorHAnsi" w:eastAsiaTheme="minorEastAsia" w:hAnsiTheme="minorHAnsi" w:cstheme="minorBidi"/>
          <w:b w:val="0"/>
          <w:bCs w:val="0"/>
          <w:sz w:val="22"/>
          <w:szCs w:val="22"/>
        </w:rPr>
      </w:pPr>
      <w:hyperlink w:anchor="_Toc105753614" w:history="1">
        <w:r w:rsidR="00891B0D" w:rsidRPr="005923AF">
          <w:rPr>
            <w:rStyle w:val="Hyperlink"/>
          </w:rPr>
          <w:t>21.</w:t>
        </w:r>
        <w:r w:rsidR="00891B0D">
          <w:rPr>
            <w:rFonts w:asciiTheme="minorHAnsi" w:eastAsiaTheme="minorEastAsia" w:hAnsiTheme="minorHAnsi" w:cstheme="minorBidi"/>
            <w:b w:val="0"/>
            <w:bCs w:val="0"/>
            <w:sz w:val="22"/>
            <w:szCs w:val="22"/>
          </w:rPr>
          <w:tab/>
        </w:r>
        <w:r w:rsidR="00891B0D" w:rsidRPr="005923AF">
          <w:rPr>
            <w:rStyle w:val="Hyperlink"/>
          </w:rPr>
          <w:t>Appeals</w:t>
        </w:r>
        <w:r w:rsidR="00891B0D">
          <w:rPr>
            <w:webHidden/>
          </w:rPr>
          <w:tab/>
        </w:r>
        <w:r w:rsidR="00891B0D">
          <w:rPr>
            <w:webHidden/>
          </w:rPr>
          <w:fldChar w:fldCharType="begin"/>
        </w:r>
        <w:r w:rsidR="00891B0D">
          <w:rPr>
            <w:webHidden/>
          </w:rPr>
          <w:instrText xml:space="preserve"> PAGEREF _Toc105753614 \h </w:instrText>
        </w:r>
        <w:r w:rsidR="00891B0D">
          <w:rPr>
            <w:webHidden/>
          </w:rPr>
        </w:r>
        <w:r w:rsidR="00891B0D">
          <w:rPr>
            <w:webHidden/>
          </w:rPr>
          <w:fldChar w:fldCharType="separate"/>
        </w:r>
        <w:r w:rsidR="00891B0D">
          <w:rPr>
            <w:webHidden/>
          </w:rPr>
          <w:t>35</w:t>
        </w:r>
        <w:r w:rsidR="00891B0D">
          <w:rPr>
            <w:webHidden/>
          </w:rPr>
          <w:fldChar w:fldCharType="end"/>
        </w:r>
      </w:hyperlink>
    </w:p>
    <w:p w14:paraId="42319853" w14:textId="735209BB" w:rsidR="00891B0D" w:rsidRDefault="00B62FAD">
      <w:pPr>
        <w:pStyle w:val="TOC1"/>
        <w:rPr>
          <w:rFonts w:asciiTheme="minorHAnsi" w:eastAsiaTheme="minorEastAsia" w:hAnsiTheme="minorHAnsi" w:cstheme="minorBidi"/>
          <w:b w:val="0"/>
          <w:bCs w:val="0"/>
          <w:sz w:val="22"/>
          <w:szCs w:val="22"/>
        </w:rPr>
      </w:pPr>
      <w:hyperlink w:anchor="_Toc105753615" w:history="1">
        <w:r w:rsidR="00891B0D" w:rsidRPr="005923AF">
          <w:rPr>
            <w:rStyle w:val="Hyperlink"/>
          </w:rPr>
          <w:t>22.</w:t>
        </w:r>
        <w:r w:rsidR="00891B0D">
          <w:rPr>
            <w:rFonts w:asciiTheme="minorHAnsi" w:eastAsiaTheme="minorEastAsia" w:hAnsiTheme="minorHAnsi" w:cstheme="minorBidi"/>
            <w:b w:val="0"/>
            <w:bCs w:val="0"/>
            <w:sz w:val="22"/>
            <w:szCs w:val="22"/>
          </w:rPr>
          <w:tab/>
        </w:r>
        <w:r w:rsidR="00891B0D" w:rsidRPr="005923AF">
          <w:rPr>
            <w:rStyle w:val="Hyperlink"/>
          </w:rPr>
          <w:t>Glossary</w:t>
        </w:r>
        <w:r w:rsidR="00891B0D">
          <w:rPr>
            <w:webHidden/>
          </w:rPr>
          <w:tab/>
        </w:r>
        <w:r w:rsidR="00891B0D">
          <w:rPr>
            <w:webHidden/>
          </w:rPr>
          <w:fldChar w:fldCharType="begin"/>
        </w:r>
        <w:r w:rsidR="00891B0D">
          <w:rPr>
            <w:webHidden/>
          </w:rPr>
          <w:instrText xml:space="preserve"> PAGEREF _Toc105753615 \h </w:instrText>
        </w:r>
        <w:r w:rsidR="00891B0D">
          <w:rPr>
            <w:webHidden/>
          </w:rPr>
        </w:r>
        <w:r w:rsidR="00891B0D">
          <w:rPr>
            <w:webHidden/>
          </w:rPr>
          <w:fldChar w:fldCharType="separate"/>
        </w:r>
        <w:r w:rsidR="00891B0D">
          <w:rPr>
            <w:webHidden/>
          </w:rPr>
          <w:t>36</w:t>
        </w:r>
        <w:r w:rsidR="00891B0D">
          <w:rPr>
            <w:webHidden/>
          </w:rPr>
          <w:fldChar w:fldCharType="end"/>
        </w:r>
      </w:hyperlink>
    </w:p>
    <w:p w14:paraId="72560189" w14:textId="32D3B9C6" w:rsidR="00CD3903" w:rsidRPr="0003653F" w:rsidRDefault="00316679" w:rsidP="00964CAE">
      <w:pPr>
        <w:pStyle w:val="BlockText"/>
        <w:ind w:left="1418"/>
        <w:jc w:val="center"/>
        <w:rPr>
          <w:rFonts w:cs="Arial"/>
          <w:b/>
          <w:color w:val="943634" w:themeColor="accent2" w:themeShade="BF"/>
          <w:lang w:val="en-NZ"/>
        </w:rPr>
      </w:pPr>
      <w:r w:rsidRPr="0003653F">
        <w:rPr>
          <w:rFonts w:eastAsia="Calibri" w:cs="Arial"/>
          <w:noProof/>
          <w:lang w:val="en-NZ" w:eastAsia="en-NZ"/>
        </w:rPr>
        <w:fldChar w:fldCharType="end"/>
      </w:r>
    </w:p>
    <w:p w14:paraId="6885CCFE" w14:textId="77777777" w:rsidR="0096415D" w:rsidRPr="0003653F" w:rsidRDefault="00482BF9" w:rsidP="0096415D">
      <w:pPr>
        <w:pStyle w:val="HeadingLine"/>
        <w:rPr>
          <w:rFonts w:cs="Arial"/>
          <w:sz w:val="20"/>
          <w:lang w:val="en-NZ"/>
        </w:rPr>
      </w:pPr>
      <w:r>
        <w:rPr>
          <w:rFonts w:cs="Arial"/>
          <w:sz w:val="20"/>
          <w:lang w:val="en-NZ"/>
        </w:rPr>
        <w:br w:type="column"/>
      </w:r>
    </w:p>
    <w:p w14:paraId="70161F96" w14:textId="77777777" w:rsidR="00E37B9C" w:rsidRPr="001548F7" w:rsidRDefault="00D72A1B" w:rsidP="001548F7">
      <w:pPr>
        <w:pStyle w:val="Heading1No"/>
      </w:pPr>
      <w:bookmarkStart w:id="2" w:name="_Toc352741611"/>
      <w:bookmarkStart w:id="3" w:name="_Toc352763796"/>
      <w:bookmarkStart w:id="4" w:name="_Toc105753594"/>
      <w:r w:rsidRPr="001548F7">
        <w:t>General</w:t>
      </w:r>
      <w:bookmarkEnd w:id="2"/>
      <w:bookmarkEnd w:id="3"/>
      <w:bookmarkEnd w:id="4"/>
    </w:p>
    <w:p w14:paraId="1BC6AC3D" w14:textId="77777777" w:rsidR="008B269B" w:rsidRPr="00032FAF" w:rsidRDefault="00D72A1B" w:rsidP="00601610">
      <w:pPr>
        <w:pStyle w:val="Heading2No"/>
        <w:rPr>
          <w:rFonts w:cs="Arial"/>
          <w:szCs w:val="20"/>
          <w:lang w:val="en-NZ"/>
        </w:rPr>
      </w:pPr>
      <w:r w:rsidRPr="00032FAF">
        <w:rPr>
          <w:rFonts w:cs="Arial"/>
          <w:szCs w:val="20"/>
          <w:lang w:val="en-NZ"/>
        </w:rPr>
        <w:t>Introduction</w:t>
      </w:r>
    </w:p>
    <w:p w14:paraId="2FCA659F" w14:textId="52FE1210" w:rsidR="00736967" w:rsidRPr="0003653F" w:rsidRDefault="00D72A1B">
      <w:pPr>
        <w:pStyle w:val="BlockNumber"/>
        <w:ind w:left="1587" w:hanging="873"/>
        <w:rPr>
          <w:rFonts w:cs="Arial"/>
          <w:szCs w:val="20"/>
          <w:lang w:val="en-NZ"/>
        </w:rPr>
      </w:pPr>
      <w:bookmarkStart w:id="5" w:name="_Toc300139182"/>
      <w:bookmarkStart w:id="6" w:name="_Toc300666441"/>
      <w:r w:rsidRPr="0003653F">
        <w:rPr>
          <w:rFonts w:cs="Arial"/>
          <w:szCs w:val="20"/>
          <w:lang w:val="en-NZ"/>
        </w:rPr>
        <w:t xml:space="preserve">The </w:t>
      </w:r>
      <w:r w:rsidR="00893B2F">
        <w:rPr>
          <w:rFonts w:cs="Arial"/>
          <w:i/>
          <w:szCs w:val="20"/>
          <w:lang w:val="en-NZ"/>
        </w:rPr>
        <w:t>Learner</w:t>
      </w:r>
      <w:r w:rsidRPr="0003653F">
        <w:rPr>
          <w:rFonts w:cs="Arial"/>
          <w:i/>
          <w:szCs w:val="20"/>
          <w:lang w:val="en-NZ"/>
        </w:rPr>
        <w:t xml:space="preserve"> Regulations</w:t>
      </w:r>
      <w:r w:rsidRPr="0003653F">
        <w:rPr>
          <w:rFonts w:cs="Arial"/>
          <w:szCs w:val="20"/>
          <w:lang w:val="en-NZ"/>
        </w:rPr>
        <w:t xml:space="preserve"> are relevant to all </w:t>
      </w:r>
      <w:r w:rsidR="00893B2F">
        <w:rPr>
          <w:rFonts w:cs="Arial"/>
          <w:szCs w:val="20"/>
          <w:lang w:val="en-NZ"/>
        </w:rPr>
        <w:t>learner</w:t>
      </w:r>
      <w:r w:rsidRPr="0003653F">
        <w:rPr>
          <w:rFonts w:cs="Arial"/>
          <w:szCs w:val="20"/>
          <w:lang w:val="en-NZ"/>
        </w:rPr>
        <w:t xml:space="preserve">s of </w:t>
      </w:r>
      <w:r w:rsidR="00893B2F">
        <w:rPr>
          <w:rFonts w:cs="Arial"/>
          <w:szCs w:val="20"/>
          <w:lang w:val="en-NZ"/>
        </w:rPr>
        <w:t>ATNZ</w:t>
      </w:r>
      <w:r w:rsidR="00EB0376">
        <w:rPr>
          <w:rFonts w:cs="Arial"/>
          <w:szCs w:val="20"/>
          <w:lang w:val="en-NZ"/>
        </w:rPr>
        <w:t>:</w:t>
      </w:r>
    </w:p>
    <w:p w14:paraId="02A946DA" w14:textId="6C5011BF" w:rsidR="00256C3B" w:rsidRPr="0003653F" w:rsidRDefault="00256C3B" w:rsidP="00135CF0">
      <w:pPr>
        <w:pStyle w:val="Bullet1"/>
        <w:tabs>
          <w:tab w:val="clear" w:pos="1494"/>
        </w:tabs>
        <w:ind w:left="2127" w:hanging="426"/>
        <w:rPr>
          <w:rFonts w:cs="Arial"/>
          <w:lang w:val="en-NZ"/>
        </w:rPr>
      </w:pPr>
      <w:r w:rsidRPr="0003653F">
        <w:rPr>
          <w:rFonts w:cs="Arial"/>
          <w:lang w:val="en-NZ"/>
        </w:rPr>
        <w:t xml:space="preserve">People </w:t>
      </w:r>
      <w:r w:rsidR="0055003E" w:rsidRPr="0003653F">
        <w:rPr>
          <w:rFonts w:cs="Arial"/>
          <w:lang w:val="en-NZ"/>
        </w:rPr>
        <w:t xml:space="preserve">in the process of </w:t>
      </w:r>
      <w:r w:rsidRPr="0003653F">
        <w:rPr>
          <w:rFonts w:cs="Arial"/>
          <w:lang w:val="en-NZ"/>
        </w:rPr>
        <w:t xml:space="preserve">applying to enrol </w:t>
      </w:r>
      <w:r w:rsidR="00650233" w:rsidRPr="0003653F">
        <w:rPr>
          <w:rFonts w:cs="Arial"/>
          <w:lang w:val="en-NZ"/>
        </w:rPr>
        <w:t>with</w:t>
      </w:r>
      <w:r w:rsidRPr="0003653F">
        <w:rPr>
          <w:rFonts w:cs="Arial"/>
          <w:lang w:val="en-NZ"/>
        </w:rPr>
        <w:t xml:space="preserve"> </w:t>
      </w:r>
      <w:proofErr w:type="gramStart"/>
      <w:r w:rsidR="00893B2F">
        <w:rPr>
          <w:rFonts w:cs="Arial"/>
          <w:lang w:val="en-NZ"/>
        </w:rPr>
        <w:t>ATNZ</w:t>
      </w:r>
      <w:r w:rsidR="00D63671" w:rsidRPr="0003653F">
        <w:rPr>
          <w:rFonts w:cs="Arial"/>
          <w:lang w:val="en-NZ"/>
        </w:rPr>
        <w:t>;</w:t>
      </w:r>
      <w:proofErr w:type="gramEnd"/>
    </w:p>
    <w:p w14:paraId="330FD49D" w14:textId="71DEB03B" w:rsidR="00736967" w:rsidRPr="0003653F" w:rsidRDefault="00893B2F" w:rsidP="00135CF0">
      <w:pPr>
        <w:pStyle w:val="Bullet1"/>
        <w:tabs>
          <w:tab w:val="clear" w:pos="1494"/>
        </w:tabs>
        <w:ind w:left="2127" w:hanging="426"/>
        <w:rPr>
          <w:rFonts w:cs="Arial"/>
          <w:lang w:val="en-NZ"/>
        </w:rPr>
      </w:pPr>
      <w:r>
        <w:rPr>
          <w:rFonts w:cs="Arial"/>
          <w:lang w:val="en-NZ"/>
        </w:rPr>
        <w:t>Learner</w:t>
      </w:r>
      <w:r w:rsidR="00D72A1B" w:rsidRPr="0003653F">
        <w:rPr>
          <w:rFonts w:cs="Arial"/>
          <w:lang w:val="en-NZ"/>
        </w:rPr>
        <w:t>s</w:t>
      </w:r>
      <w:r w:rsidR="004C7D44">
        <w:rPr>
          <w:rFonts w:cs="Arial"/>
          <w:lang w:val="en-NZ"/>
        </w:rPr>
        <w:t xml:space="preserve"> in work</w:t>
      </w:r>
      <w:r w:rsidR="0078406E">
        <w:rPr>
          <w:rFonts w:cs="Arial"/>
          <w:lang w:val="en-NZ"/>
        </w:rPr>
        <w:t>-</w:t>
      </w:r>
      <w:r w:rsidR="004C7D44">
        <w:rPr>
          <w:rFonts w:cs="Arial"/>
          <w:lang w:val="en-NZ"/>
        </w:rPr>
        <w:t xml:space="preserve">based learning programmes or </w:t>
      </w:r>
      <w:r w:rsidR="00D72A1B" w:rsidRPr="0003653F">
        <w:rPr>
          <w:rFonts w:cs="Arial"/>
          <w:lang w:val="en-NZ"/>
        </w:rPr>
        <w:t xml:space="preserve">who attend courses </w:t>
      </w:r>
      <w:r w:rsidR="004C7D44">
        <w:rPr>
          <w:rFonts w:cs="Arial"/>
          <w:lang w:val="en-NZ"/>
        </w:rPr>
        <w:t xml:space="preserve">in facilities arranged by </w:t>
      </w:r>
      <w:proofErr w:type="gramStart"/>
      <w:r w:rsidR="004C7D44">
        <w:rPr>
          <w:rFonts w:cs="Arial"/>
          <w:lang w:val="en-NZ"/>
        </w:rPr>
        <w:t>ATNZ</w:t>
      </w:r>
      <w:r w:rsidR="00D72A1B" w:rsidRPr="0003653F">
        <w:rPr>
          <w:rFonts w:cs="Arial"/>
          <w:lang w:val="en-NZ"/>
        </w:rPr>
        <w:t>;</w:t>
      </w:r>
      <w:proofErr w:type="gramEnd"/>
    </w:p>
    <w:p w14:paraId="015C6674" w14:textId="071BB236" w:rsidR="00736967" w:rsidRDefault="00893B2F" w:rsidP="00135CF0">
      <w:pPr>
        <w:pStyle w:val="Bullet1"/>
        <w:tabs>
          <w:tab w:val="clear" w:pos="1494"/>
        </w:tabs>
        <w:ind w:left="2127" w:hanging="426"/>
        <w:rPr>
          <w:rFonts w:cs="Arial"/>
          <w:lang w:val="en-NZ"/>
        </w:rPr>
      </w:pPr>
      <w:r>
        <w:rPr>
          <w:rFonts w:cs="Arial"/>
          <w:lang w:val="en-NZ"/>
        </w:rPr>
        <w:t>Learner</w:t>
      </w:r>
      <w:r w:rsidR="00D72A1B" w:rsidRPr="0003653F">
        <w:rPr>
          <w:rFonts w:cs="Arial"/>
          <w:lang w:val="en-NZ"/>
        </w:rPr>
        <w:t xml:space="preserve">s who take courses </w:t>
      </w:r>
      <w:r w:rsidR="004C7D44">
        <w:rPr>
          <w:rFonts w:cs="Arial"/>
          <w:lang w:val="en-NZ"/>
        </w:rPr>
        <w:t xml:space="preserve">or are supported </w:t>
      </w:r>
      <w:proofErr w:type="gramStart"/>
      <w:r w:rsidR="00CF1420" w:rsidRPr="0003653F">
        <w:rPr>
          <w:rFonts w:cs="Arial"/>
          <w:lang w:val="en-NZ"/>
        </w:rPr>
        <w:t>online</w:t>
      </w:r>
      <w:proofErr w:type="gramEnd"/>
    </w:p>
    <w:p w14:paraId="503248C0" w14:textId="6EE553A6" w:rsidR="00B354B6" w:rsidRPr="0003653F" w:rsidRDefault="00D72A1B" w:rsidP="00B354B6">
      <w:pPr>
        <w:pStyle w:val="BlockText"/>
        <w:rPr>
          <w:rFonts w:cs="Arial"/>
          <w:lang w:val="en-NZ"/>
        </w:rPr>
      </w:pPr>
      <w:r w:rsidRPr="0003653F">
        <w:rPr>
          <w:rFonts w:cs="Arial"/>
          <w:b/>
          <w:lang w:val="en-NZ"/>
        </w:rPr>
        <w:t>Note:</w:t>
      </w:r>
      <w:r w:rsidRPr="0003653F">
        <w:rPr>
          <w:rFonts w:cs="Arial"/>
          <w:lang w:val="en-NZ"/>
        </w:rPr>
        <w:t xml:space="preserve"> </w:t>
      </w:r>
      <w:r w:rsidR="005B026C" w:rsidRPr="0003653F">
        <w:rPr>
          <w:rFonts w:cs="Arial"/>
          <w:lang w:val="en-NZ"/>
        </w:rPr>
        <w:t>N</w:t>
      </w:r>
      <w:r w:rsidRPr="0003653F">
        <w:rPr>
          <w:rFonts w:cs="Arial"/>
          <w:lang w:val="en-NZ"/>
        </w:rPr>
        <w:t xml:space="preserve">ot all sections </w:t>
      </w:r>
      <w:r w:rsidR="005B026C" w:rsidRPr="0003653F">
        <w:rPr>
          <w:rFonts w:cs="Arial"/>
          <w:lang w:val="en-NZ"/>
        </w:rPr>
        <w:t xml:space="preserve">of the </w:t>
      </w:r>
      <w:r w:rsidR="00893B2F">
        <w:rPr>
          <w:rFonts w:cs="Arial"/>
          <w:i/>
          <w:lang w:val="en-NZ"/>
        </w:rPr>
        <w:t>Learner</w:t>
      </w:r>
      <w:r w:rsidR="005B026C" w:rsidRPr="0003653F">
        <w:rPr>
          <w:rFonts w:cs="Arial"/>
          <w:i/>
          <w:lang w:val="en-NZ"/>
        </w:rPr>
        <w:t xml:space="preserve"> Regulations</w:t>
      </w:r>
      <w:r w:rsidR="005B026C" w:rsidRPr="0003653F">
        <w:rPr>
          <w:rFonts w:cs="Arial"/>
          <w:lang w:val="en-NZ"/>
        </w:rPr>
        <w:t xml:space="preserve"> </w:t>
      </w:r>
      <w:r w:rsidRPr="0003653F">
        <w:rPr>
          <w:rFonts w:cs="Arial"/>
          <w:lang w:val="en-NZ"/>
        </w:rPr>
        <w:t xml:space="preserve">are applicable for every </w:t>
      </w:r>
      <w:r w:rsidR="00893B2F">
        <w:rPr>
          <w:rFonts w:cs="Arial"/>
          <w:lang w:val="en-NZ"/>
        </w:rPr>
        <w:t>learner</w:t>
      </w:r>
      <w:r w:rsidRPr="0003653F">
        <w:rPr>
          <w:rFonts w:cs="Arial"/>
          <w:lang w:val="en-NZ"/>
        </w:rPr>
        <w:t>.</w:t>
      </w:r>
    </w:p>
    <w:p w14:paraId="341DD022" w14:textId="53BA2602" w:rsidR="00672653" w:rsidRPr="0003653F" w:rsidRDefault="00672653" w:rsidP="00672653">
      <w:pPr>
        <w:pStyle w:val="BlockNumber"/>
        <w:ind w:left="1587" w:hanging="873"/>
        <w:rPr>
          <w:rFonts w:cs="Arial"/>
          <w:szCs w:val="20"/>
          <w:lang w:val="en-NZ"/>
        </w:rPr>
      </w:pPr>
      <w:r w:rsidRPr="0003653F">
        <w:rPr>
          <w:rFonts w:cs="Arial"/>
          <w:szCs w:val="20"/>
          <w:lang w:val="en-NZ"/>
        </w:rPr>
        <w:t xml:space="preserve">For the purposes of these regulations, the term ‘programme’ </w:t>
      </w:r>
      <w:r w:rsidR="004C7D44">
        <w:rPr>
          <w:rFonts w:cs="Arial"/>
          <w:szCs w:val="20"/>
          <w:lang w:val="en-NZ"/>
        </w:rPr>
        <w:t xml:space="preserve">includes </w:t>
      </w:r>
      <w:r w:rsidRPr="0003653F">
        <w:rPr>
          <w:rFonts w:cs="Arial"/>
          <w:szCs w:val="20"/>
          <w:lang w:val="en-NZ"/>
        </w:rPr>
        <w:t xml:space="preserve">all </w:t>
      </w:r>
      <w:r w:rsidR="009B5E6F" w:rsidRPr="0003653F">
        <w:rPr>
          <w:rFonts w:cs="Arial"/>
          <w:szCs w:val="20"/>
          <w:lang w:val="en-NZ"/>
        </w:rPr>
        <w:t>education</w:t>
      </w:r>
      <w:r w:rsidR="006530CB" w:rsidRPr="0003653F">
        <w:rPr>
          <w:rFonts w:cs="Arial"/>
          <w:szCs w:val="20"/>
          <w:lang w:val="en-NZ"/>
        </w:rPr>
        <w:t>al</w:t>
      </w:r>
      <w:r w:rsidR="009B5E6F" w:rsidRPr="0003653F">
        <w:rPr>
          <w:rFonts w:cs="Arial"/>
          <w:szCs w:val="20"/>
          <w:lang w:val="en-NZ"/>
        </w:rPr>
        <w:t xml:space="preserve"> offerings</w:t>
      </w:r>
      <w:r w:rsidR="00D63671" w:rsidRPr="0003653F">
        <w:rPr>
          <w:rFonts w:cs="Arial"/>
          <w:szCs w:val="20"/>
          <w:lang w:val="en-NZ"/>
        </w:rPr>
        <w:t xml:space="preserve"> </w:t>
      </w:r>
      <w:r w:rsidR="007F40FF" w:rsidRPr="0003653F">
        <w:rPr>
          <w:rFonts w:cs="Arial"/>
          <w:szCs w:val="20"/>
          <w:lang w:val="en-NZ"/>
        </w:rPr>
        <w:t>delivered</w:t>
      </w:r>
      <w:r w:rsidRPr="0003653F">
        <w:rPr>
          <w:rFonts w:cs="Arial"/>
          <w:szCs w:val="20"/>
          <w:lang w:val="en-NZ"/>
        </w:rPr>
        <w:t xml:space="preserve"> </w:t>
      </w:r>
      <w:r w:rsidR="00D63671" w:rsidRPr="0003653F">
        <w:rPr>
          <w:rFonts w:cs="Arial"/>
          <w:szCs w:val="20"/>
          <w:lang w:val="en-NZ"/>
        </w:rPr>
        <w:t xml:space="preserve">by </w:t>
      </w:r>
      <w:r w:rsidR="00893B2F">
        <w:rPr>
          <w:rFonts w:cs="Arial"/>
          <w:szCs w:val="20"/>
          <w:lang w:val="en-NZ"/>
        </w:rPr>
        <w:t>ATNZ</w:t>
      </w:r>
      <w:r w:rsidR="00595F02">
        <w:rPr>
          <w:rFonts w:cs="Arial"/>
          <w:szCs w:val="20"/>
          <w:lang w:val="en-NZ"/>
        </w:rPr>
        <w:t xml:space="preserve"> including programmes of study and training</w:t>
      </w:r>
      <w:r w:rsidR="004C7D44">
        <w:rPr>
          <w:rFonts w:cs="Arial"/>
          <w:szCs w:val="20"/>
          <w:lang w:val="en-NZ"/>
        </w:rPr>
        <w:t xml:space="preserve">. This may include Programmes, </w:t>
      </w:r>
      <w:proofErr w:type="spellStart"/>
      <w:r w:rsidR="004C7D44">
        <w:rPr>
          <w:rFonts w:cs="Arial"/>
          <w:szCs w:val="20"/>
          <w:lang w:val="en-NZ"/>
        </w:rPr>
        <w:t>Microcredentials</w:t>
      </w:r>
      <w:proofErr w:type="spellEnd"/>
      <w:r w:rsidR="004C7D44">
        <w:rPr>
          <w:rFonts w:cs="Arial"/>
          <w:szCs w:val="20"/>
          <w:lang w:val="en-NZ"/>
        </w:rPr>
        <w:t xml:space="preserve"> or non-formal delivery</w:t>
      </w:r>
      <w:r w:rsidRPr="0003653F">
        <w:rPr>
          <w:rFonts w:cs="Arial"/>
          <w:szCs w:val="20"/>
          <w:lang w:val="en-NZ"/>
        </w:rPr>
        <w:t xml:space="preserve">.  </w:t>
      </w:r>
    </w:p>
    <w:p w14:paraId="76C66EC8" w14:textId="32576CEB" w:rsidR="00736967" w:rsidRPr="0003653F" w:rsidRDefault="00D72A1B">
      <w:pPr>
        <w:pStyle w:val="BlockNumber"/>
        <w:ind w:left="1587" w:hanging="873"/>
        <w:rPr>
          <w:rFonts w:cs="Arial"/>
          <w:szCs w:val="20"/>
          <w:lang w:val="en-NZ"/>
        </w:rPr>
      </w:pPr>
      <w:r w:rsidRPr="0003653F">
        <w:rPr>
          <w:rFonts w:cs="Arial"/>
          <w:szCs w:val="20"/>
          <w:lang w:val="en-NZ"/>
        </w:rPr>
        <w:t xml:space="preserve">The </w:t>
      </w:r>
      <w:r w:rsidR="00893B2F">
        <w:rPr>
          <w:rFonts w:cs="Arial"/>
          <w:i/>
          <w:szCs w:val="20"/>
          <w:lang w:val="en-NZ"/>
        </w:rPr>
        <w:t>Learner</w:t>
      </w:r>
      <w:r w:rsidRPr="0003653F">
        <w:rPr>
          <w:rFonts w:cs="Arial"/>
          <w:i/>
          <w:szCs w:val="20"/>
          <w:lang w:val="en-NZ"/>
        </w:rPr>
        <w:t xml:space="preserve"> Regulations</w:t>
      </w:r>
      <w:r w:rsidRPr="0003653F">
        <w:rPr>
          <w:rFonts w:cs="Arial"/>
          <w:szCs w:val="20"/>
          <w:lang w:val="en-NZ"/>
        </w:rPr>
        <w:t xml:space="preserve"> seek to ensure</w:t>
      </w:r>
      <w:r w:rsidR="009B5E6F" w:rsidRPr="0003653F">
        <w:rPr>
          <w:rFonts w:cs="Arial"/>
          <w:szCs w:val="20"/>
          <w:lang w:val="en-NZ"/>
        </w:rPr>
        <w:t xml:space="preserve"> that</w:t>
      </w:r>
      <w:r w:rsidRPr="0003653F">
        <w:rPr>
          <w:rFonts w:cs="Arial"/>
          <w:szCs w:val="20"/>
          <w:lang w:val="en-NZ"/>
        </w:rPr>
        <w:t xml:space="preserve"> all </w:t>
      </w:r>
      <w:r w:rsidR="00893B2F">
        <w:rPr>
          <w:rFonts w:cs="Arial"/>
          <w:szCs w:val="20"/>
          <w:lang w:val="en-NZ"/>
        </w:rPr>
        <w:t>ATNZ</w:t>
      </w:r>
      <w:r w:rsidRPr="0003653F">
        <w:rPr>
          <w:rFonts w:cs="Arial"/>
          <w:szCs w:val="20"/>
          <w:lang w:val="en-NZ"/>
        </w:rPr>
        <w:t xml:space="preserve"> </w:t>
      </w:r>
      <w:r w:rsidR="00893B2F">
        <w:rPr>
          <w:rFonts w:cs="Arial"/>
          <w:szCs w:val="20"/>
          <w:lang w:val="en-NZ"/>
        </w:rPr>
        <w:t>learner</w:t>
      </w:r>
      <w:r w:rsidRPr="0003653F">
        <w:rPr>
          <w:rFonts w:cs="Arial"/>
          <w:szCs w:val="20"/>
          <w:lang w:val="en-NZ"/>
        </w:rPr>
        <w:t>s are treated fairly and equitably.</w:t>
      </w:r>
      <w:r w:rsidR="00037460">
        <w:rPr>
          <w:rFonts w:cs="Arial"/>
          <w:szCs w:val="20"/>
          <w:lang w:val="en-NZ"/>
        </w:rPr>
        <w:t xml:space="preserve"> They create obligations that apply to and must be applied by all </w:t>
      </w:r>
      <w:r w:rsidR="00893B2F">
        <w:rPr>
          <w:rFonts w:cs="Arial"/>
          <w:szCs w:val="20"/>
          <w:lang w:val="en-NZ"/>
        </w:rPr>
        <w:t>ATNZ</w:t>
      </w:r>
      <w:r w:rsidR="00037460">
        <w:rPr>
          <w:rFonts w:cs="Arial"/>
          <w:szCs w:val="20"/>
          <w:lang w:val="en-NZ"/>
        </w:rPr>
        <w:t xml:space="preserve"> staff.</w:t>
      </w:r>
      <w:r w:rsidRPr="0003653F">
        <w:rPr>
          <w:rFonts w:cs="Arial"/>
          <w:szCs w:val="20"/>
          <w:lang w:val="en-NZ"/>
        </w:rPr>
        <w:t xml:space="preserve">  </w:t>
      </w:r>
    </w:p>
    <w:p w14:paraId="3594E4F8" w14:textId="689BFF59" w:rsidR="00736967" w:rsidRPr="0003653F" w:rsidRDefault="00D72A1B">
      <w:pPr>
        <w:pStyle w:val="BlockNumber"/>
        <w:ind w:left="1587" w:hanging="873"/>
        <w:rPr>
          <w:rFonts w:cs="Arial"/>
          <w:szCs w:val="20"/>
          <w:lang w:val="en-NZ"/>
        </w:rPr>
      </w:pPr>
      <w:r w:rsidRPr="0003653F">
        <w:rPr>
          <w:rFonts w:cs="Arial"/>
          <w:szCs w:val="20"/>
          <w:lang w:val="en-NZ"/>
        </w:rPr>
        <w:t xml:space="preserve">The </w:t>
      </w:r>
      <w:r w:rsidR="00893B2F">
        <w:rPr>
          <w:rFonts w:cs="Arial"/>
          <w:i/>
          <w:szCs w:val="20"/>
          <w:lang w:val="en-NZ"/>
        </w:rPr>
        <w:t>Learner</w:t>
      </w:r>
      <w:r w:rsidRPr="0003653F">
        <w:rPr>
          <w:rFonts w:cs="Arial"/>
          <w:i/>
          <w:szCs w:val="20"/>
          <w:lang w:val="en-NZ"/>
        </w:rPr>
        <w:t xml:space="preserve"> Regulations</w:t>
      </w:r>
      <w:r w:rsidRPr="0003653F">
        <w:rPr>
          <w:rFonts w:cs="Arial"/>
          <w:szCs w:val="20"/>
          <w:lang w:val="en-NZ"/>
        </w:rPr>
        <w:t xml:space="preserve"> are intended to be consistent with relevant </w:t>
      </w:r>
      <w:r w:rsidR="00AB7CDB" w:rsidRPr="0003653F">
        <w:rPr>
          <w:rFonts w:cs="Arial"/>
          <w:szCs w:val="20"/>
          <w:lang w:val="en-NZ"/>
        </w:rPr>
        <w:t xml:space="preserve">New Zealand </w:t>
      </w:r>
      <w:r w:rsidRPr="0003653F">
        <w:rPr>
          <w:rFonts w:cs="Arial"/>
          <w:szCs w:val="20"/>
          <w:lang w:val="en-NZ"/>
        </w:rPr>
        <w:t xml:space="preserve">legislation.  In the event of any inconsistency between the </w:t>
      </w:r>
      <w:r w:rsidR="00893B2F">
        <w:rPr>
          <w:rFonts w:cs="Arial"/>
          <w:i/>
          <w:szCs w:val="20"/>
          <w:lang w:val="en-NZ"/>
        </w:rPr>
        <w:t>Learner</w:t>
      </w:r>
      <w:r w:rsidR="00210430" w:rsidRPr="0003653F">
        <w:rPr>
          <w:rFonts w:cs="Arial"/>
          <w:szCs w:val="20"/>
          <w:lang w:val="en-NZ"/>
        </w:rPr>
        <w:t xml:space="preserve"> </w:t>
      </w:r>
      <w:r w:rsidR="004B3981" w:rsidRPr="0003653F">
        <w:rPr>
          <w:rFonts w:cs="Arial"/>
          <w:i/>
          <w:szCs w:val="20"/>
          <w:lang w:val="en-NZ"/>
        </w:rPr>
        <w:t>R</w:t>
      </w:r>
      <w:r w:rsidRPr="0003653F">
        <w:rPr>
          <w:rFonts w:cs="Arial"/>
          <w:i/>
          <w:szCs w:val="20"/>
          <w:lang w:val="en-NZ"/>
        </w:rPr>
        <w:t>egulations</w:t>
      </w:r>
      <w:r w:rsidRPr="0003653F">
        <w:rPr>
          <w:rFonts w:cs="Arial"/>
          <w:szCs w:val="20"/>
          <w:lang w:val="en-NZ"/>
        </w:rPr>
        <w:t xml:space="preserve"> and </w:t>
      </w:r>
      <w:r w:rsidR="00AB7CDB" w:rsidRPr="0003653F">
        <w:rPr>
          <w:rFonts w:cs="Arial"/>
          <w:szCs w:val="20"/>
          <w:lang w:val="en-NZ"/>
        </w:rPr>
        <w:t xml:space="preserve">New Zealand </w:t>
      </w:r>
      <w:r w:rsidRPr="0003653F">
        <w:rPr>
          <w:rFonts w:cs="Arial"/>
          <w:szCs w:val="20"/>
          <w:lang w:val="en-NZ"/>
        </w:rPr>
        <w:t xml:space="preserve">legislation, the relevant legislative provisions shall prevail.  </w:t>
      </w:r>
    </w:p>
    <w:p w14:paraId="2C20D0BE" w14:textId="2649B88E" w:rsidR="003B73B7" w:rsidRPr="0003653F" w:rsidRDefault="00815480">
      <w:pPr>
        <w:pStyle w:val="BlockNumber"/>
        <w:ind w:left="1587" w:hanging="873"/>
        <w:rPr>
          <w:rFonts w:cs="Arial"/>
          <w:szCs w:val="20"/>
          <w:lang w:val="en-NZ"/>
        </w:rPr>
      </w:pPr>
      <w:r w:rsidRPr="0003653F">
        <w:rPr>
          <w:rFonts w:cs="Arial"/>
          <w:szCs w:val="20"/>
          <w:lang w:val="en-NZ"/>
        </w:rPr>
        <w:t xml:space="preserve">Where a </w:t>
      </w:r>
      <w:r w:rsidR="005B3B98" w:rsidRPr="0003653F">
        <w:rPr>
          <w:rFonts w:cs="Arial"/>
          <w:szCs w:val="20"/>
          <w:lang w:val="en-NZ"/>
        </w:rPr>
        <w:t>programme</w:t>
      </w:r>
      <w:r w:rsidR="00650233" w:rsidRPr="0003653F">
        <w:rPr>
          <w:rFonts w:cs="Arial"/>
          <w:szCs w:val="20"/>
          <w:lang w:val="en-NZ"/>
        </w:rPr>
        <w:t xml:space="preserve"> </w:t>
      </w:r>
      <w:r w:rsidRPr="0003653F">
        <w:rPr>
          <w:rFonts w:cs="Arial"/>
          <w:szCs w:val="20"/>
          <w:lang w:val="en-NZ"/>
        </w:rPr>
        <w:t xml:space="preserve">is subject to regulation by </w:t>
      </w:r>
      <w:r w:rsidR="00893B2F">
        <w:rPr>
          <w:rFonts w:cs="Arial"/>
          <w:szCs w:val="20"/>
          <w:lang w:val="en-NZ"/>
        </w:rPr>
        <w:t>ATNZ</w:t>
      </w:r>
      <w:r w:rsidRPr="0003653F">
        <w:rPr>
          <w:rFonts w:cs="Arial"/>
          <w:szCs w:val="20"/>
          <w:lang w:val="en-NZ"/>
        </w:rPr>
        <w:t xml:space="preserve"> and by an external authority, and there is conflict between those regulations</w:t>
      </w:r>
      <w:r w:rsidR="00BA6192" w:rsidRPr="0003653F">
        <w:rPr>
          <w:rFonts w:cs="Arial"/>
          <w:szCs w:val="20"/>
          <w:lang w:val="en-NZ"/>
        </w:rPr>
        <w:t>,</w:t>
      </w:r>
      <w:r w:rsidRPr="0003653F">
        <w:rPr>
          <w:rFonts w:cs="Arial"/>
          <w:szCs w:val="20"/>
          <w:lang w:val="en-NZ"/>
        </w:rPr>
        <w:t xml:space="preserve"> </w:t>
      </w:r>
      <w:r w:rsidR="000F19C5" w:rsidRPr="0003653F">
        <w:rPr>
          <w:rFonts w:cs="Arial"/>
          <w:szCs w:val="20"/>
          <w:lang w:val="en-NZ"/>
        </w:rPr>
        <w:t xml:space="preserve">the </w:t>
      </w:r>
      <w:r w:rsidR="00F95690">
        <w:rPr>
          <w:rFonts w:cs="Arial"/>
          <w:szCs w:val="20"/>
          <w:lang w:val="en-NZ"/>
        </w:rPr>
        <w:t xml:space="preserve">PTE Manager </w:t>
      </w:r>
      <w:r w:rsidR="005B5965">
        <w:rPr>
          <w:rFonts w:cs="Arial"/>
          <w:szCs w:val="20"/>
          <w:lang w:val="en-NZ"/>
        </w:rPr>
        <w:t>or their specified delegate</w:t>
      </w:r>
      <w:r w:rsidR="000F19C5" w:rsidRPr="0003653F">
        <w:rPr>
          <w:rFonts w:cs="Arial"/>
          <w:szCs w:val="20"/>
          <w:lang w:val="en-NZ"/>
        </w:rPr>
        <w:t xml:space="preserve"> </w:t>
      </w:r>
      <w:r w:rsidRPr="0003653F">
        <w:rPr>
          <w:rFonts w:cs="Arial"/>
          <w:szCs w:val="20"/>
          <w:lang w:val="en-NZ"/>
        </w:rPr>
        <w:t>shall determine whether the regulations of that other authority shall apply in respect to that programme</w:t>
      </w:r>
      <w:r w:rsidR="005B3B98" w:rsidRPr="0003653F">
        <w:rPr>
          <w:rFonts w:cs="Arial"/>
          <w:szCs w:val="20"/>
          <w:lang w:val="en-NZ"/>
        </w:rPr>
        <w:t xml:space="preserve"> or training scheme</w:t>
      </w:r>
      <w:r w:rsidRPr="0003653F">
        <w:rPr>
          <w:rFonts w:cs="Arial"/>
          <w:szCs w:val="20"/>
          <w:lang w:val="en-NZ"/>
        </w:rPr>
        <w:t xml:space="preserve">.  </w:t>
      </w:r>
      <w:r w:rsidR="00D322DC" w:rsidRPr="0003653F">
        <w:rPr>
          <w:rFonts w:cs="Arial"/>
          <w:szCs w:val="20"/>
          <w:lang w:val="en-NZ"/>
        </w:rPr>
        <w:t xml:space="preserve">In making such a determination, </w:t>
      </w:r>
      <w:r w:rsidR="006530CB" w:rsidRPr="0003653F">
        <w:rPr>
          <w:rFonts w:cs="Arial"/>
          <w:szCs w:val="20"/>
          <w:lang w:val="en-NZ"/>
        </w:rPr>
        <w:t>they</w:t>
      </w:r>
      <w:r w:rsidR="00D322DC" w:rsidRPr="0003653F">
        <w:rPr>
          <w:rFonts w:cs="Arial"/>
          <w:szCs w:val="20"/>
          <w:lang w:val="en-NZ"/>
        </w:rPr>
        <w:t xml:space="preserve"> shall </w:t>
      </w:r>
      <w:proofErr w:type="gramStart"/>
      <w:r w:rsidR="00D322DC" w:rsidRPr="0003653F">
        <w:rPr>
          <w:rFonts w:cs="Arial"/>
          <w:szCs w:val="20"/>
          <w:lang w:val="en-NZ"/>
        </w:rPr>
        <w:t>take into account</w:t>
      </w:r>
      <w:proofErr w:type="gramEnd"/>
      <w:r w:rsidR="00D322DC" w:rsidRPr="0003653F">
        <w:rPr>
          <w:rFonts w:cs="Arial"/>
          <w:szCs w:val="20"/>
          <w:lang w:val="en-NZ"/>
        </w:rPr>
        <w:t xml:space="preserve"> any agreements and/or arrangements that exist between </w:t>
      </w:r>
      <w:r w:rsidR="00893B2F">
        <w:rPr>
          <w:rFonts w:cs="Arial"/>
          <w:szCs w:val="20"/>
          <w:lang w:val="en-NZ"/>
        </w:rPr>
        <w:t>ATNZ</w:t>
      </w:r>
      <w:r w:rsidR="00D322DC" w:rsidRPr="0003653F">
        <w:rPr>
          <w:rFonts w:cs="Arial"/>
          <w:szCs w:val="20"/>
          <w:lang w:val="en-NZ"/>
        </w:rPr>
        <w:t xml:space="preserve"> and the external authority, and the acade</w:t>
      </w:r>
      <w:r w:rsidR="003B73B7" w:rsidRPr="0003653F">
        <w:rPr>
          <w:rFonts w:cs="Arial"/>
          <w:szCs w:val="20"/>
          <w:lang w:val="en-NZ"/>
        </w:rPr>
        <w:t>mic integrity of the programme.</w:t>
      </w:r>
    </w:p>
    <w:bookmarkEnd w:id="5"/>
    <w:bookmarkEnd w:id="6"/>
    <w:p w14:paraId="01F4C9EA" w14:textId="027B6B07" w:rsidR="00736967" w:rsidRPr="0003653F" w:rsidRDefault="00D72A1B">
      <w:pPr>
        <w:pStyle w:val="BlockNumber"/>
        <w:ind w:left="1587" w:hanging="873"/>
        <w:rPr>
          <w:rFonts w:cs="Arial"/>
          <w:szCs w:val="20"/>
          <w:lang w:val="en-NZ"/>
        </w:rPr>
      </w:pPr>
      <w:r w:rsidRPr="0003653F">
        <w:rPr>
          <w:rFonts w:cs="Arial"/>
          <w:szCs w:val="20"/>
          <w:lang w:val="en-NZ"/>
        </w:rPr>
        <w:t xml:space="preserve">In addition to the </w:t>
      </w:r>
      <w:r w:rsidR="00893B2F">
        <w:rPr>
          <w:rFonts w:cs="Arial"/>
          <w:i/>
          <w:szCs w:val="20"/>
          <w:lang w:val="en-NZ"/>
        </w:rPr>
        <w:t>Learner</w:t>
      </w:r>
      <w:r w:rsidR="00210430" w:rsidRPr="0003653F">
        <w:rPr>
          <w:rFonts w:cs="Arial"/>
          <w:i/>
          <w:szCs w:val="20"/>
          <w:lang w:val="en-NZ"/>
        </w:rPr>
        <w:t xml:space="preserve"> </w:t>
      </w:r>
      <w:r w:rsidR="004B3981" w:rsidRPr="0003653F">
        <w:rPr>
          <w:rFonts w:cs="Arial"/>
          <w:i/>
          <w:szCs w:val="20"/>
          <w:lang w:val="en-NZ"/>
        </w:rPr>
        <w:t>R</w:t>
      </w:r>
      <w:r w:rsidRPr="0003653F">
        <w:rPr>
          <w:rFonts w:cs="Arial"/>
          <w:i/>
          <w:szCs w:val="20"/>
          <w:lang w:val="en-NZ"/>
        </w:rPr>
        <w:t>egulations</w:t>
      </w:r>
      <w:r w:rsidR="00A25338" w:rsidRPr="0003653F">
        <w:rPr>
          <w:rFonts w:cs="Arial"/>
          <w:i/>
          <w:szCs w:val="20"/>
          <w:lang w:val="en-NZ"/>
        </w:rPr>
        <w:t>,</w:t>
      </w:r>
      <w:r w:rsidRPr="0003653F">
        <w:rPr>
          <w:rFonts w:cs="Arial"/>
          <w:szCs w:val="20"/>
          <w:lang w:val="en-NZ"/>
        </w:rPr>
        <w:t xml:space="preserve"> </w:t>
      </w:r>
      <w:r w:rsidR="00893B2F">
        <w:rPr>
          <w:rFonts w:cs="Arial"/>
          <w:szCs w:val="20"/>
          <w:lang w:val="en-NZ"/>
        </w:rPr>
        <w:t>ATNZ</w:t>
      </w:r>
      <w:r w:rsidRPr="0003653F">
        <w:rPr>
          <w:rFonts w:cs="Arial"/>
          <w:szCs w:val="20"/>
          <w:lang w:val="en-NZ"/>
        </w:rPr>
        <w:t xml:space="preserve"> </w:t>
      </w:r>
      <w:r w:rsidR="006530CB" w:rsidRPr="0003653F">
        <w:rPr>
          <w:rFonts w:cs="Arial"/>
          <w:szCs w:val="20"/>
          <w:lang w:val="en-NZ"/>
        </w:rPr>
        <w:t xml:space="preserve">has also </w:t>
      </w:r>
      <w:r w:rsidRPr="0003653F">
        <w:rPr>
          <w:rFonts w:cs="Arial"/>
          <w:szCs w:val="20"/>
          <w:lang w:val="en-NZ"/>
        </w:rPr>
        <w:t>establish</w:t>
      </w:r>
      <w:r w:rsidR="006530CB" w:rsidRPr="0003653F">
        <w:rPr>
          <w:rFonts w:cs="Arial"/>
          <w:szCs w:val="20"/>
          <w:lang w:val="en-NZ"/>
        </w:rPr>
        <w:t>ed</w:t>
      </w:r>
      <w:r w:rsidRPr="0003653F">
        <w:rPr>
          <w:rFonts w:cs="Arial"/>
          <w:szCs w:val="20"/>
          <w:lang w:val="en-NZ"/>
        </w:rPr>
        <w:t>:</w:t>
      </w:r>
    </w:p>
    <w:p w14:paraId="26F2D506" w14:textId="77777777" w:rsidR="00210430" w:rsidRPr="0003653F" w:rsidRDefault="00D72A1B" w:rsidP="00135CF0">
      <w:pPr>
        <w:pStyle w:val="Bullet1"/>
        <w:tabs>
          <w:tab w:val="clear" w:pos="1494"/>
        </w:tabs>
        <w:ind w:left="2127" w:hanging="426"/>
        <w:rPr>
          <w:rFonts w:cs="Arial"/>
          <w:lang w:val="en-NZ"/>
        </w:rPr>
      </w:pPr>
      <w:r w:rsidRPr="0003653F">
        <w:rPr>
          <w:rFonts w:cs="Arial"/>
          <w:lang w:val="en-NZ"/>
        </w:rPr>
        <w:t xml:space="preserve">Specific </w:t>
      </w:r>
      <w:r w:rsidR="00C8575C" w:rsidRPr="0003653F">
        <w:rPr>
          <w:rFonts w:cs="Arial"/>
          <w:lang w:val="en-NZ"/>
        </w:rPr>
        <w:t xml:space="preserve">Programme </w:t>
      </w:r>
      <w:proofErr w:type="gramStart"/>
      <w:r w:rsidR="00C8575C" w:rsidRPr="0003653F">
        <w:rPr>
          <w:rFonts w:cs="Arial"/>
          <w:lang w:val="en-NZ"/>
        </w:rPr>
        <w:t>Regulations</w:t>
      </w:r>
      <w:r w:rsidRPr="0003653F">
        <w:rPr>
          <w:rFonts w:cs="Arial"/>
          <w:lang w:val="en-NZ"/>
        </w:rPr>
        <w:t>;</w:t>
      </w:r>
      <w:proofErr w:type="gramEnd"/>
      <w:r w:rsidRPr="0003653F">
        <w:rPr>
          <w:rFonts w:cs="Arial"/>
          <w:lang w:val="en-NZ"/>
        </w:rPr>
        <w:t xml:space="preserve"> </w:t>
      </w:r>
    </w:p>
    <w:p w14:paraId="3F151566" w14:textId="243AD281" w:rsidR="00736967" w:rsidRPr="0003653F" w:rsidRDefault="00D72A1B" w:rsidP="00135CF0">
      <w:pPr>
        <w:pStyle w:val="Bullet1"/>
        <w:tabs>
          <w:tab w:val="clear" w:pos="1494"/>
        </w:tabs>
        <w:ind w:left="2127" w:hanging="426"/>
        <w:rPr>
          <w:rFonts w:cs="Arial"/>
          <w:lang w:val="en-NZ"/>
        </w:rPr>
      </w:pPr>
      <w:r w:rsidRPr="0003653F">
        <w:rPr>
          <w:rFonts w:cs="Arial"/>
          <w:lang w:val="en-NZ"/>
        </w:rPr>
        <w:t>Policies</w:t>
      </w:r>
      <w:r w:rsidR="00BA6192" w:rsidRPr="0003653F">
        <w:rPr>
          <w:rFonts w:cs="Arial"/>
          <w:lang w:val="en-NZ"/>
        </w:rPr>
        <w:t xml:space="preserve">, </w:t>
      </w:r>
      <w:proofErr w:type="gramStart"/>
      <w:r w:rsidRPr="0003653F">
        <w:rPr>
          <w:rFonts w:cs="Arial"/>
          <w:lang w:val="en-NZ"/>
        </w:rPr>
        <w:t>procedures</w:t>
      </w:r>
      <w:proofErr w:type="gramEnd"/>
      <w:r w:rsidR="00BA6192" w:rsidRPr="0003653F">
        <w:rPr>
          <w:rFonts w:cs="Arial"/>
          <w:lang w:val="en-NZ"/>
        </w:rPr>
        <w:t xml:space="preserve"> and processes</w:t>
      </w:r>
      <w:r w:rsidRPr="0003653F">
        <w:rPr>
          <w:rFonts w:cs="Arial"/>
          <w:lang w:val="en-NZ"/>
        </w:rPr>
        <w:t xml:space="preserve"> to give effect to </w:t>
      </w:r>
      <w:r w:rsidR="00210430" w:rsidRPr="0003653F">
        <w:rPr>
          <w:rFonts w:cs="Arial"/>
          <w:lang w:val="en-NZ"/>
        </w:rPr>
        <w:t xml:space="preserve">the </w:t>
      </w:r>
      <w:r w:rsidR="00893B2F">
        <w:rPr>
          <w:rFonts w:cs="Arial"/>
          <w:i/>
          <w:lang w:val="en-NZ"/>
        </w:rPr>
        <w:t>Learner</w:t>
      </w:r>
      <w:r w:rsidR="00210430" w:rsidRPr="0003653F">
        <w:rPr>
          <w:rFonts w:cs="Arial"/>
          <w:lang w:val="en-NZ"/>
        </w:rPr>
        <w:t xml:space="preserve"> </w:t>
      </w:r>
      <w:r w:rsidR="004B3981" w:rsidRPr="0003653F">
        <w:rPr>
          <w:rFonts w:cs="Arial"/>
          <w:i/>
          <w:lang w:val="en-NZ"/>
        </w:rPr>
        <w:t>R</w:t>
      </w:r>
      <w:r w:rsidRPr="0003653F">
        <w:rPr>
          <w:rFonts w:cs="Arial"/>
          <w:i/>
          <w:lang w:val="en-NZ"/>
        </w:rPr>
        <w:t>egulations</w:t>
      </w:r>
      <w:r w:rsidRPr="0003653F">
        <w:rPr>
          <w:rFonts w:cs="Arial"/>
          <w:lang w:val="en-NZ"/>
        </w:rPr>
        <w:t>.</w:t>
      </w:r>
      <w:r w:rsidR="00255946">
        <w:rPr>
          <w:rFonts w:cs="Arial"/>
          <w:lang w:val="en-NZ"/>
        </w:rPr>
        <w:br/>
      </w:r>
    </w:p>
    <w:p w14:paraId="26E2C28C" w14:textId="77777777" w:rsidR="00FE7DD7" w:rsidRPr="00032FAF" w:rsidRDefault="00D72A1B" w:rsidP="001846B8">
      <w:pPr>
        <w:pStyle w:val="Heading2No"/>
        <w:rPr>
          <w:rFonts w:cs="Arial"/>
          <w:szCs w:val="20"/>
          <w:lang w:val="en-NZ"/>
        </w:rPr>
      </w:pPr>
      <w:r w:rsidRPr="00032FAF">
        <w:rPr>
          <w:rFonts w:cs="Arial"/>
          <w:szCs w:val="20"/>
          <w:lang w:val="en-NZ"/>
        </w:rPr>
        <w:t>Changes to this document</w:t>
      </w:r>
    </w:p>
    <w:p w14:paraId="644E3C30" w14:textId="5D1BC641" w:rsidR="00697B4C" w:rsidRPr="0003653F" w:rsidRDefault="006F46B2" w:rsidP="00697B4C">
      <w:pPr>
        <w:pStyle w:val="BlockNumber"/>
        <w:ind w:left="1587" w:hanging="873"/>
        <w:rPr>
          <w:rFonts w:cs="Arial"/>
          <w:szCs w:val="20"/>
          <w:lang w:val="en-NZ"/>
        </w:rPr>
      </w:pPr>
      <w:r w:rsidRPr="0003653F">
        <w:rPr>
          <w:rFonts w:cs="Arial"/>
          <w:szCs w:val="20"/>
          <w:lang w:val="en-NZ"/>
        </w:rPr>
        <w:t>T</w:t>
      </w:r>
      <w:r w:rsidR="00D72A1B" w:rsidRPr="0003653F">
        <w:rPr>
          <w:rFonts w:cs="Arial"/>
          <w:szCs w:val="20"/>
          <w:lang w:val="en-NZ"/>
        </w:rPr>
        <w:t xml:space="preserve">he </w:t>
      </w:r>
      <w:r w:rsidR="00893B2F">
        <w:rPr>
          <w:rFonts w:cs="Arial"/>
          <w:i/>
          <w:szCs w:val="20"/>
          <w:lang w:val="en-NZ"/>
        </w:rPr>
        <w:t>Learner</w:t>
      </w:r>
      <w:r w:rsidR="00D72A1B" w:rsidRPr="0003653F">
        <w:rPr>
          <w:rFonts w:cs="Arial"/>
          <w:i/>
          <w:szCs w:val="20"/>
          <w:lang w:val="en-NZ"/>
        </w:rPr>
        <w:t xml:space="preserve"> Regulations</w:t>
      </w:r>
      <w:r w:rsidR="00D72A1B" w:rsidRPr="0003653F">
        <w:rPr>
          <w:rFonts w:cs="Arial"/>
          <w:szCs w:val="20"/>
          <w:lang w:val="en-NZ"/>
        </w:rPr>
        <w:t xml:space="preserve"> </w:t>
      </w:r>
      <w:r w:rsidR="00A25338" w:rsidRPr="0003653F">
        <w:rPr>
          <w:rFonts w:cs="Arial"/>
          <w:szCs w:val="20"/>
          <w:lang w:val="en-NZ"/>
        </w:rPr>
        <w:t>are</w:t>
      </w:r>
      <w:r w:rsidR="00D72A1B" w:rsidRPr="0003653F">
        <w:rPr>
          <w:rFonts w:cs="Arial"/>
          <w:szCs w:val="20"/>
          <w:lang w:val="en-NZ"/>
        </w:rPr>
        <w:t xml:space="preserve"> determined and approved by the </w:t>
      </w:r>
      <w:r w:rsidR="00CD46AC">
        <w:rPr>
          <w:rFonts w:cs="Arial"/>
          <w:szCs w:val="20"/>
          <w:lang w:val="en-NZ"/>
        </w:rPr>
        <w:t xml:space="preserve">Board </w:t>
      </w:r>
      <w:r w:rsidR="00D72A1B" w:rsidRPr="0003653F">
        <w:rPr>
          <w:rFonts w:cs="Arial"/>
          <w:szCs w:val="20"/>
          <w:lang w:val="en-NZ"/>
        </w:rPr>
        <w:t xml:space="preserve">and </w:t>
      </w:r>
      <w:r w:rsidR="000F19C5" w:rsidRPr="0003653F">
        <w:rPr>
          <w:rFonts w:cs="Arial"/>
          <w:szCs w:val="20"/>
          <w:lang w:val="en-NZ"/>
        </w:rPr>
        <w:t xml:space="preserve">are </w:t>
      </w:r>
      <w:r w:rsidR="00D72A1B" w:rsidRPr="0003653F">
        <w:rPr>
          <w:rFonts w:cs="Arial"/>
          <w:szCs w:val="20"/>
          <w:lang w:val="en-NZ"/>
        </w:rPr>
        <w:t>reviewed annually.</w:t>
      </w:r>
      <w:r w:rsidR="00697B4C" w:rsidRPr="0003653F">
        <w:rPr>
          <w:rFonts w:cs="Arial"/>
          <w:szCs w:val="20"/>
          <w:lang w:val="en-NZ"/>
        </w:rPr>
        <w:t xml:space="preserve">  </w:t>
      </w:r>
    </w:p>
    <w:p w14:paraId="2867FAA5" w14:textId="603E76CE" w:rsidR="006A0D5C" w:rsidRPr="0003653F" w:rsidRDefault="006530CB" w:rsidP="00556F80">
      <w:pPr>
        <w:pStyle w:val="BlockNumber"/>
        <w:ind w:left="1587" w:hanging="873"/>
        <w:rPr>
          <w:rFonts w:cs="Arial"/>
          <w:szCs w:val="20"/>
        </w:rPr>
      </w:pPr>
      <w:r w:rsidRPr="0003653F">
        <w:rPr>
          <w:rFonts w:cs="Arial"/>
          <w:szCs w:val="20"/>
          <w:lang w:val="en-NZ"/>
        </w:rPr>
        <w:t>I</w:t>
      </w:r>
      <w:r w:rsidR="00D72A1B" w:rsidRPr="0003653F">
        <w:rPr>
          <w:rFonts w:cs="Arial"/>
          <w:szCs w:val="20"/>
          <w:lang w:val="en-NZ"/>
        </w:rPr>
        <w:t xml:space="preserve">nformation </w:t>
      </w:r>
      <w:r w:rsidR="00BA6192" w:rsidRPr="0003653F">
        <w:rPr>
          <w:rFonts w:cs="Arial"/>
          <w:szCs w:val="20"/>
          <w:lang w:val="en-NZ"/>
        </w:rPr>
        <w:t xml:space="preserve">provided to </w:t>
      </w:r>
      <w:r w:rsidR="00893B2F">
        <w:rPr>
          <w:rFonts w:cs="Arial"/>
          <w:szCs w:val="20"/>
          <w:lang w:val="en-NZ"/>
        </w:rPr>
        <w:t>learner</w:t>
      </w:r>
      <w:r w:rsidR="00BA6192" w:rsidRPr="0003653F">
        <w:rPr>
          <w:rFonts w:cs="Arial"/>
          <w:szCs w:val="20"/>
          <w:lang w:val="en-NZ"/>
        </w:rPr>
        <w:t>s</w:t>
      </w:r>
      <w:r w:rsidR="00D72A1B" w:rsidRPr="0003653F">
        <w:rPr>
          <w:rFonts w:cs="Arial"/>
          <w:szCs w:val="20"/>
          <w:lang w:val="en-NZ"/>
        </w:rPr>
        <w:t xml:space="preserve"> </w:t>
      </w:r>
      <w:r w:rsidR="004813F9" w:rsidRPr="0003653F">
        <w:rPr>
          <w:rFonts w:cs="Arial"/>
          <w:szCs w:val="20"/>
          <w:lang w:val="en-NZ"/>
        </w:rPr>
        <w:t xml:space="preserve">shall </w:t>
      </w:r>
      <w:r w:rsidR="00D72A1B" w:rsidRPr="0003653F">
        <w:rPr>
          <w:rFonts w:cs="Arial"/>
          <w:szCs w:val="20"/>
          <w:lang w:val="en-NZ"/>
        </w:rPr>
        <w:t>be updated</w:t>
      </w:r>
      <w:r w:rsidRPr="0003653F">
        <w:rPr>
          <w:rFonts w:cs="Arial"/>
          <w:szCs w:val="20"/>
          <w:lang w:val="en-NZ"/>
        </w:rPr>
        <w:t xml:space="preserve"> where necessary</w:t>
      </w:r>
      <w:r w:rsidR="00D72A1B" w:rsidRPr="0003653F">
        <w:rPr>
          <w:rFonts w:cs="Arial"/>
          <w:szCs w:val="20"/>
          <w:lang w:val="en-NZ"/>
        </w:rPr>
        <w:t xml:space="preserve"> to reflect changes made to the </w:t>
      </w:r>
      <w:r w:rsidR="00893B2F">
        <w:rPr>
          <w:rFonts w:cs="Arial"/>
          <w:i/>
          <w:szCs w:val="20"/>
          <w:lang w:val="en-NZ"/>
        </w:rPr>
        <w:t>Learner</w:t>
      </w:r>
      <w:r w:rsidR="00D72A1B" w:rsidRPr="0003653F">
        <w:rPr>
          <w:rFonts w:cs="Arial"/>
          <w:i/>
          <w:szCs w:val="20"/>
          <w:lang w:val="en-NZ"/>
        </w:rPr>
        <w:t xml:space="preserve"> Regulations</w:t>
      </w:r>
      <w:r w:rsidR="00D72A1B" w:rsidRPr="0003653F">
        <w:rPr>
          <w:rFonts w:cs="Arial"/>
          <w:szCs w:val="20"/>
          <w:lang w:val="en-NZ"/>
        </w:rPr>
        <w:t>.</w:t>
      </w:r>
      <w:r w:rsidR="00D00004" w:rsidRPr="0003653F">
        <w:rPr>
          <w:rFonts w:cs="Arial"/>
          <w:szCs w:val="20"/>
          <w:lang w:val="en-NZ"/>
        </w:rPr>
        <w:t xml:space="preserve">  </w:t>
      </w:r>
      <w:r w:rsidR="00893B2F">
        <w:rPr>
          <w:rFonts w:cs="Arial"/>
          <w:szCs w:val="20"/>
          <w:lang w:val="en-NZ"/>
        </w:rPr>
        <w:t>ATNZ</w:t>
      </w:r>
      <w:r w:rsidR="005B3B98" w:rsidRPr="0003653F">
        <w:rPr>
          <w:rFonts w:cs="Arial"/>
          <w:szCs w:val="20"/>
          <w:lang w:val="en-NZ"/>
        </w:rPr>
        <w:t xml:space="preserve"> shall notify </w:t>
      </w:r>
      <w:r w:rsidR="00893B2F">
        <w:rPr>
          <w:rFonts w:cs="Arial"/>
          <w:szCs w:val="20"/>
          <w:lang w:val="en-NZ"/>
        </w:rPr>
        <w:t>learner</w:t>
      </w:r>
      <w:r w:rsidR="005B3B98" w:rsidRPr="0003653F">
        <w:rPr>
          <w:rFonts w:cs="Arial"/>
          <w:szCs w:val="20"/>
          <w:lang w:val="en-NZ"/>
        </w:rPr>
        <w:t xml:space="preserve">s of any changes made outside </w:t>
      </w:r>
      <w:r w:rsidR="00AC1692" w:rsidRPr="0003653F">
        <w:rPr>
          <w:rFonts w:cs="Arial"/>
          <w:szCs w:val="20"/>
          <w:lang w:val="en-NZ"/>
        </w:rPr>
        <w:t xml:space="preserve">of </w:t>
      </w:r>
      <w:r w:rsidR="005B3B98" w:rsidRPr="0003653F">
        <w:rPr>
          <w:rFonts w:cs="Arial"/>
          <w:szCs w:val="20"/>
          <w:lang w:val="en-NZ"/>
        </w:rPr>
        <w:t xml:space="preserve">the annual review cycle that are likely to affect them.  </w:t>
      </w:r>
      <w:r w:rsidR="006A0D5C" w:rsidRPr="0003653F">
        <w:rPr>
          <w:rFonts w:cs="Arial"/>
          <w:szCs w:val="20"/>
        </w:rPr>
        <w:br w:type="page"/>
      </w:r>
    </w:p>
    <w:p w14:paraId="3250040D" w14:textId="77777777" w:rsidR="00E44FF7" w:rsidRPr="00032FAF" w:rsidRDefault="005B449A" w:rsidP="001548F7">
      <w:pPr>
        <w:pStyle w:val="Heading1No"/>
      </w:pPr>
      <w:r w:rsidRPr="00032FAF">
        <w:rPr>
          <w:rFonts w:cs="Arial"/>
          <w:sz w:val="20"/>
          <w:szCs w:val="20"/>
          <w:lang w:val="en-NZ"/>
        </w:rPr>
        <w:lastRenderedPageBreak/>
        <w:tab/>
      </w:r>
      <w:bookmarkStart w:id="7" w:name="_Toc105753595"/>
      <w:bookmarkStart w:id="8" w:name="_Toc352741612"/>
      <w:bookmarkStart w:id="9" w:name="_Toc352763797"/>
      <w:r w:rsidR="00E44FF7" w:rsidRPr="00032FAF">
        <w:t xml:space="preserve">Providing Equal Opportunities to </w:t>
      </w:r>
      <w:r w:rsidR="00E44FF7">
        <w:t>Learner</w:t>
      </w:r>
      <w:r w:rsidR="00E44FF7" w:rsidRPr="00032FAF">
        <w:t>s</w:t>
      </w:r>
      <w:bookmarkEnd w:id="7"/>
    </w:p>
    <w:p w14:paraId="42B822D1" w14:textId="77777777" w:rsidR="00E44FF7" w:rsidRPr="0003653F" w:rsidRDefault="00E44FF7" w:rsidP="00E44FF7">
      <w:pPr>
        <w:pStyle w:val="BlockNumber"/>
        <w:shd w:val="clear" w:color="auto" w:fill="FFFFFF" w:themeFill="background1"/>
        <w:ind w:left="1587" w:hanging="873"/>
        <w:rPr>
          <w:rFonts w:cs="Arial"/>
          <w:szCs w:val="20"/>
          <w:lang w:val="en-NZ"/>
        </w:rPr>
      </w:pPr>
      <w:r>
        <w:rPr>
          <w:rFonts w:cs="Arial"/>
          <w:szCs w:val="20"/>
          <w:lang w:val="en-NZ"/>
        </w:rPr>
        <w:t>ATNZ</w:t>
      </w:r>
      <w:r w:rsidRPr="0003653F">
        <w:rPr>
          <w:rFonts w:cs="Arial"/>
          <w:szCs w:val="20"/>
          <w:lang w:val="en-NZ"/>
        </w:rPr>
        <w:t xml:space="preserve"> acknowledges the principles of Te </w:t>
      </w:r>
      <w:proofErr w:type="spellStart"/>
      <w:r w:rsidRPr="0003653F">
        <w:rPr>
          <w:rFonts w:cs="Arial"/>
          <w:szCs w:val="20"/>
          <w:lang w:val="en-NZ"/>
        </w:rPr>
        <w:t>Tiriti</w:t>
      </w:r>
      <w:proofErr w:type="spellEnd"/>
      <w:r w:rsidRPr="0003653F">
        <w:rPr>
          <w:rFonts w:cs="Arial"/>
          <w:szCs w:val="20"/>
          <w:lang w:val="en-NZ"/>
        </w:rPr>
        <w:t xml:space="preserve"> o Waitangi (Treaty of Waitangi)</w:t>
      </w:r>
      <w:r>
        <w:rPr>
          <w:rFonts w:cs="Arial"/>
          <w:szCs w:val="20"/>
          <w:lang w:val="en-NZ"/>
        </w:rPr>
        <w:t xml:space="preserve"> and although not a </w:t>
      </w:r>
      <w:proofErr w:type="spellStart"/>
      <w:r>
        <w:rPr>
          <w:rFonts w:cs="Arial"/>
          <w:szCs w:val="20"/>
          <w:lang w:val="en-NZ"/>
        </w:rPr>
        <w:t>Tiriti</w:t>
      </w:r>
      <w:proofErr w:type="spellEnd"/>
      <w:r>
        <w:rPr>
          <w:rFonts w:cs="Arial"/>
          <w:szCs w:val="20"/>
          <w:lang w:val="en-NZ"/>
        </w:rPr>
        <w:t xml:space="preserve"> partner, is committed to achieving </w:t>
      </w:r>
      <w:proofErr w:type="spellStart"/>
      <w:r>
        <w:rPr>
          <w:rFonts w:cs="Arial"/>
          <w:szCs w:val="20"/>
          <w:lang w:val="en-NZ"/>
        </w:rPr>
        <w:t>oritetanga</w:t>
      </w:r>
      <w:proofErr w:type="spellEnd"/>
      <w:r>
        <w:rPr>
          <w:rFonts w:cs="Arial"/>
          <w:szCs w:val="20"/>
          <w:lang w:val="en-NZ"/>
        </w:rPr>
        <w:t xml:space="preserve"> in opportunities, </w:t>
      </w:r>
      <w:proofErr w:type="gramStart"/>
      <w:r>
        <w:rPr>
          <w:rFonts w:cs="Arial"/>
          <w:szCs w:val="20"/>
          <w:lang w:val="en-NZ"/>
        </w:rPr>
        <w:t>participation</w:t>
      </w:r>
      <w:proofErr w:type="gramEnd"/>
      <w:r>
        <w:rPr>
          <w:rFonts w:cs="Arial"/>
          <w:szCs w:val="20"/>
          <w:lang w:val="en-NZ"/>
        </w:rPr>
        <w:t xml:space="preserve"> and outcomes for Māori and for other underserved learners.</w:t>
      </w:r>
    </w:p>
    <w:p w14:paraId="2D1C7954" w14:textId="77777777" w:rsidR="00E44FF7" w:rsidRPr="0003653F" w:rsidRDefault="00E44FF7" w:rsidP="00E44FF7">
      <w:pPr>
        <w:pStyle w:val="BlockNumber"/>
        <w:shd w:val="clear" w:color="auto" w:fill="FFFFFF" w:themeFill="background1"/>
        <w:ind w:left="1587" w:hanging="873"/>
        <w:rPr>
          <w:rFonts w:cs="Arial"/>
          <w:szCs w:val="20"/>
          <w:lang w:val="en-NZ"/>
        </w:rPr>
      </w:pPr>
      <w:r>
        <w:rPr>
          <w:rFonts w:cs="Arial"/>
          <w:szCs w:val="20"/>
          <w:lang w:val="en-NZ"/>
        </w:rPr>
        <w:t>ATNZ</w:t>
      </w:r>
      <w:r w:rsidRPr="0003653F">
        <w:rPr>
          <w:rFonts w:cs="Arial"/>
          <w:szCs w:val="20"/>
          <w:lang w:val="en-NZ"/>
        </w:rPr>
        <w:t xml:space="preserve"> is committed to providing an environment in which all </w:t>
      </w:r>
      <w:r>
        <w:rPr>
          <w:rFonts w:cs="Arial"/>
          <w:szCs w:val="20"/>
          <w:lang w:val="en-NZ"/>
        </w:rPr>
        <w:t>learner</w:t>
      </w:r>
      <w:r w:rsidRPr="0003653F">
        <w:rPr>
          <w:rFonts w:cs="Arial"/>
          <w:szCs w:val="20"/>
          <w:lang w:val="en-NZ"/>
        </w:rPr>
        <w:t xml:space="preserve">s have an equal opportunity to achieve their academic potential. This is to ensure that no unreasonable barriers are created which could prevent </w:t>
      </w:r>
      <w:r>
        <w:rPr>
          <w:rFonts w:cs="Arial"/>
          <w:szCs w:val="20"/>
          <w:lang w:val="en-NZ"/>
        </w:rPr>
        <w:t>learner</w:t>
      </w:r>
      <w:r w:rsidRPr="0003653F">
        <w:rPr>
          <w:rFonts w:cs="Arial"/>
          <w:szCs w:val="20"/>
          <w:lang w:val="en-NZ"/>
        </w:rPr>
        <w:t>s from gaining access to education and training.</w:t>
      </w:r>
    </w:p>
    <w:p w14:paraId="38675758" w14:textId="77777777" w:rsidR="00E44FF7" w:rsidRPr="0003653F" w:rsidRDefault="00E44FF7" w:rsidP="00E44FF7">
      <w:pPr>
        <w:pStyle w:val="BlockNumber"/>
        <w:shd w:val="clear" w:color="auto" w:fill="FFFFFF" w:themeFill="background1"/>
        <w:ind w:left="1587" w:hanging="873"/>
        <w:rPr>
          <w:rFonts w:cs="Arial"/>
          <w:color w:val="auto"/>
          <w:szCs w:val="20"/>
          <w:lang w:val="en-NZ"/>
        </w:rPr>
      </w:pPr>
      <w:r w:rsidRPr="0003653F">
        <w:rPr>
          <w:rFonts w:cs="Arial"/>
          <w:szCs w:val="20"/>
          <w:lang w:val="en-NZ"/>
        </w:rPr>
        <w:t>Wherever possible, progra</w:t>
      </w:r>
      <w:r w:rsidRPr="0003653F">
        <w:rPr>
          <w:rFonts w:cs="Arial"/>
          <w:color w:val="auto"/>
          <w:szCs w:val="20"/>
          <w:lang w:val="en-NZ"/>
        </w:rPr>
        <w:t xml:space="preserve">mmes </w:t>
      </w:r>
      <w:r>
        <w:rPr>
          <w:rFonts w:cs="Arial"/>
          <w:color w:val="auto"/>
          <w:szCs w:val="20"/>
          <w:lang w:val="en-NZ"/>
        </w:rPr>
        <w:t xml:space="preserve">will be </w:t>
      </w:r>
      <w:r w:rsidRPr="0003653F">
        <w:rPr>
          <w:rFonts w:cs="Arial"/>
          <w:color w:val="auto"/>
          <w:szCs w:val="20"/>
          <w:lang w:val="en-NZ"/>
        </w:rPr>
        <w:t>delivered in such a way as to give</w:t>
      </w:r>
      <w:r>
        <w:rPr>
          <w:rFonts w:cs="Arial"/>
          <w:color w:val="auto"/>
          <w:szCs w:val="20"/>
          <w:lang w:val="en-NZ"/>
        </w:rPr>
        <w:t xml:space="preserve"> equal opportunities for all learners. In applying this principle, the learner body might include (but is not limited to): </w:t>
      </w:r>
      <w:r w:rsidRPr="0003653F">
        <w:rPr>
          <w:rFonts w:cs="Arial"/>
          <w:color w:val="auto"/>
          <w:szCs w:val="20"/>
          <w:lang w:val="en-NZ"/>
        </w:rPr>
        <w:t xml:space="preserve"> </w:t>
      </w:r>
    </w:p>
    <w:p w14:paraId="6F8E9DE9" w14:textId="77777777" w:rsidR="00E44FF7" w:rsidRPr="0003653F" w:rsidRDefault="00E44FF7" w:rsidP="00E44FF7">
      <w:pPr>
        <w:pStyle w:val="BlockText"/>
        <w:numPr>
          <w:ilvl w:val="0"/>
          <w:numId w:val="30"/>
        </w:numPr>
        <w:shd w:val="clear" w:color="auto" w:fill="FFFFFF" w:themeFill="background1"/>
      </w:pPr>
      <w:r w:rsidRPr="0003653F">
        <w:t xml:space="preserve">People with </w:t>
      </w:r>
      <w:proofErr w:type="gramStart"/>
      <w:r w:rsidRPr="0003653F">
        <w:t>disabilities;</w:t>
      </w:r>
      <w:proofErr w:type="gramEnd"/>
    </w:p>
    <w:p w14:paraId="4D4CF6C5" w14:textId="77777777" w:rsidR="00E44FF7" w:rsidRDefault="00E44FF7" w:rsidP="00E44FF7">
      <w:pPr>
        <w:pStyle w:val="BlockText"/>
        <w:numPr>
          <w:ilvl w:val="0"/>
          <w:numId w:val="30"/>
        </w:numPr>
        <w:shd w:val="clear" w:color="auto" w:fill="FFFFFF" w:themeFill="background1"/>
      </w:pPr>
      <w:r w:rsidRPr="0003653F">
        <w:t xml:space="preserve">People requiring specific learning </w:t>
      </w:r>
      <w:proofErr w:type="gramStart"/>
      <w:r w:rsidRPr="0003653F">
        <w:t>assistance</w:t>
      </w:r>
      <w:r>
        <w:t>;</w:t>
      </w:r>
      <w:proofErr w:type="gramEnd"/>
    </w:p>
    <w:p w14:paraId="1CA3B89D" w14:textId="77777777" w:rsidR="00E44FF7" w:rsidRPr="0003653F" w:rsidRDefault="00E44FF7" w:rsidP="00E44FF7">
      <w:pPr>
        <w:pStyle w:val="BlockText"/>
        <w:numPr>
          <w:ilvl w:val="0"/>
          <w:numId w:val="30"/>
        </w:numPr>
        <w:shd w:val="clear" w:color="auto" w:fill="FFFFFF" w:themeFill="background1"/>
      </w:pPr>
      <w:r>
        <w:t xml:space="preserve">People of all gender </w:t>
      </w:r>
      <w:proofErr w:type="gramStart"/>
      <w:r>
        <w:t>descriptions</w:t>
      </w:r>
      <w:r w:rsidRPr="0003653F">
        <w:t>;</w:t>
      </w:r>
      <w:proofErr w:type="gramEnd"/>
    </w:p>
    <w:p w14:paraId="4FEE18BB" w14:textId="77777777" w:rsidR="00E44FF7" w:rsidRPr="0003653F" w:rsidRDefault="00E44FF7" w:rsidP="00E44FF7">
      <w:pPr>
        <w:pStyle w:val="BlockText"/>
        <w:numPr>
          <w:ilvl w:val="0"/>
          <w:numId w:val="30"/>
        </w:numPr>
        <w:shd w:val="clear" w:color="auto" w:fill="FFFFFF" w:themeFill="background1"/>
      </w:pPr>
      <w:r w:rsidRPr="0003653F">
        <w:t xml:space="preserve">The economically </w:t>
      </w:r>
      <w:proofErr w:type="gramStart"/>
      <w:r w:rsidRPr="0003653F">
        <w:t>disadvantaged;</w:t>
      </w:r>
      <w:proofErr w:type="gramEnd"/>
    </w:p>
    <w:p w14:paraId="7C379286" w14:textId="77777777" w:rsidR="00E44FF7" w:rsidRPr="0003653F" w:rsidRDefault="00E44FF7" w:rsidP="00E44FF7">
      <w:pPr>
        <w:pStyle w:val="BlockText"/>
        <w:numPr>
          <w:ilvl w:val="0"/>
          <w:numId w:val="30"/>
        </w:numPr>
        <w:shd w:val="clear" w:color="auto" w:fill="FFFFFF" w:themeFill="background1"/>
      </w:pPr>
      <w:r w:rsidRPr="0003653F">
        <w:t xml:space="preserve">The educationally </w:t>
      </w:r>
      <w:proofErr w:type="gramStart"/>
      <w:r w:rsidRPr="0003653F">
        <w:t>disadvantaged;</w:t>
      </w:r>
      <w:proofErr w:type="gramEnd"/>
    </w:p>
    <w:p w14:paraId="7AFD21A7" w14:textId="77777777" w:rsidR="00E44FF7" w:rsidRPr="0003653F" w:rsidRDefault="00E44FF7" w:rsidP="00E44FF7">
      <w:pPr>
        <w:pStyle w:val="BlockText"/>
        <w:numPr>
          <w:ilvl w:val="0"/>
          <w:numId w:val="30"/>
        </w:numPr>
        <w:shd w:val="clear" w:color="auto" w:fill="FFFFFF" w:themeFill="background1"/>
      </w:pPr>
      <w:r w:rsidRPr="0003653F">
        <w:t xml:space="preserve">People who speak English as a second or foreign </w:t>
      </w:r>
      <w:proofErr w:type="gramStart"/>
      <w:r w:rsidRPr="0003653F">
        <w:t>language;</w:t>
      </w:r>
      <w:proofErr w:type="gramEnd"/>
    </w:p>
    <w:p w14:paraId="5C00F0FD" w14:textId="77777777" w:rsidR="00E44FF7" w:rsidRPr="0003653F" w:rsidRDefault="00E44FF7" w:rsidP="00E44FF7">
      <w:pPr>
        <w:pStyle w:val="BlockText"/>
        <w:numPr>
          <w:ilvl w:val="0"/>
          <w:numId w:val="30"/>
        </w:numPr>
        <w:shd w:val="clear" w:color="auto" w:fill="FFFFFF" w:themeFill="background1"/>
      </w:pPr>
      <w:r w:rsidRPr="0003653F">
        <w:t xml:space="preserve">People with </w:t>
      </w:r>
      <w:proofErr w:type="gramStart"/>
      <w:r w:rsidRPr="0003653F">
        <w:t>dependents;</w:t>
      </w:r>
      <w:proofErr w:type="gramEnd"/>
    </w:p>
    <w:p w14:paraId="2B29F45A" w14:textId="77777777" w:rsidR="00E44FF7" w:rsidRPr="0003653F" w:rsidRDefault="00E44FF7" w:rsidP="00E44FF7">
      <w:pPr>
        <w:pStyle w:val="BlockText"/>
        <w:numPr>
          <w:ilvl w:val="0"/>
          <w:numId w:val="30"/>
        </w:numPr>
        <w:shd w:val="clear" w:color="auto" w:fill="FFFFFF" w:themeFill="background1"/>
      </w:pPr>
      <w:r w:rsidRPr="0003653F">
        <w:t xml:space="preserve">People from minority ethnic </w:t>
      </w:r>
      <w:proofErr w:type="gramStart"/>
      <w:r w:rsidRPr="0003653F">
        <w:t>groups;</w:t>
      </w:r>
      <w:proofErr w:type="gramEnd"/>
    </w:p>
    <w:p w14:paraId="038FDD64" w14:textId="77777777" w:rsidR="00E44FF7" w:rsidRPr="0003653F" w:rsidRDefault="00E44FF7" w:rsidP="00E44FF7">
      <w:pPr>
        <w:pStyle w:val="BlockText"/>
        <w:numPr>
          <w:ilvl w:val="0"/>
          <w:numId w:val="30"/>
        </w:numPr>
        <w:shd w:val="clear" w:color="auto" w:fill="FFFFFF" w:themeFill="background1"/>
      </w:pPr>
      <w:r w:rsidRPr="0003653F">
        <w:t xml:space="preserve">People undertaking courses in which they identify as, or are a minority due to, for example, age, gender identity, ethnicity </w:t>
      </w:r>
      <w:proofErr w:type="spellStart"/>
      <w:r w:rsidRPr="0003653F">
        <w:t>etc</w:t>
      </w:r>
      <w:proofErr w:type="spellEnd"/>
      <w:r w:rsidRPr="0003653F">
        <w:t>; and</w:t>
      </w:r>
    </w:p>
    <w:p w14:paraId="412CFDC0" w14:textId="77777777" w:rsidR="00E44FF7" w:rsidRPr="0003653F" w:rsidRDefault="00E44FF7" w:rsidP="00E44FF7">
      <w:pPr>
        <w:pStyle w:val="BlockText"/>
        <w:numPr>
          <w:ilvl w:val="0"/>
          <w:numId w:val="30"/>
        </w:numPr>
        <w:shd w:val="clear" w:color="auto" w:fill="FFFFFF" w:themeFill="background1"/>
      </w:pPr>
      <w:r w:rsidRPr="0003653F">
        <w:t>Other groups identified as disadvantaged.</w:t>
      </w:r>
    </w:p>
    <w:p w14:paraId="760F7FF8" w14:textId="77777777" w:rsidR="00E44FF7" w:rsidRPr="0003653F" w:rsidRDefault="00E44FF7" w:rsidP="00E44FF7">
      <w:pPr>
        <w:pStyle w:val="BlockNumber"/>
        <w:shd w:val="clear" w:color="auto" w:fill="FFFFFF" w:themeFill="background1"/>
        <w:ind w:left="1587" w:hanging="873"/>
        <w:rPr>
          <w:rFonts w:cs="Arial"/>
          <w:szCs w:val="20"/>
          <w:lang w:val="en-NZ"/>
        </w:rPr>
      </w:pPr>
      <w:r>
        <w:rPr>
          <w:rFonts w:cs="Arial"/>
          <w:szCs w:val="20"/>
          <w:lang w:val="en-NZ"/>
        </w:rPr>
        <w:t>ATNZ</w:t>
      </w:r>
      <w:r w:rsidRPr="0003653F">
        <w:rPr>
          <w:rFonts w:cs="Arial"/>
          <w:szCs w:val="20"/>
          <w:lang w:val="en-NZ"/>
        </w:rPr>
        <w:t xml:space="preserve"> places particular emphasis on the elimination of barriers that cause under representation </w:t>
      </w:r>
      <w:r>
        <w:rPr>
          <w:rFonts w:cs="Arial"/>
          <w:szCs w:val="20"/>
          <w:lang w:val="en-NZ"/>
        </w:rPr>
        <w:t xml:space="preserve">or underachievement </w:t>
      </w:r>
      <w:r w:rsidRPr="0003653F">
        <w:rPr>
          <w:rFonts w:cs="Arial"/>
          <w:szCs w:val="20"/>
          <w:lang w:val="en-NZ"/>
        </w:rPr>
        <w:t xml:space="preserve">in tertiary education for Māori and Pasifika people, people with disabilities, and </w:t>
      </w:r>
      <w:proofErr w:type="gramStart"/>
      <w:r w:rsidRPr="0003653F">
        <w:rPr>
          <w:rFonts w:cs="Arial"/>
          <w:szCs w:val="20"/>
          <w:lang w:val="en-NZ"/>
        </w:rPr>
        <w:t>on the basis of</w:t>
      </w:r>
      <w:proofErr w:type="gramEnd"/>
      <w:r w:rsidRPr="0003653F">
        <w:rPr>
          <w:rFonts w:cs="Arial"/>
          <w:szCs w:val="20"/>
          <w:lang w:val="en-NZ"/>
        </w:rPr>
        <w:t xml:space="preserve"> gender </w:t>
      </w:r>
      <w:r>
        <w:rPr>
          <w:rFonts w:cs="Arial"/>
          <w:szCs w:val="20"/>
          <w:lang w:val="en-NZ"/>
        </w:rPr>
        <w:t>or gender identity.</w:t>
      </w:r>
    </w:p>
    <w:p w14:paraId="4BAD4966" w14:textId="1D674966" w:rsidR="00E44FF7" w:rsidRPr="001548F7" w:rsidRDefault="00E44FF7" w:rsidP="00E44FF7">
      <w:pPr>
        <w:pStyle w:val="BlockNumber"/>
        <w:shd w:val="clear" w:color="auto" w:fill="FFFFFF" w:themeFill="background1"/>
        <w:ind w:left="1587" w:hanging="873"/>
        <w:rPr>
          <w:rFonts w:cs="Arial"/>
          <w:b/>
          <w:color w:val="auto"/>
          <w:szCs w:val="20"/>
          <w:lang w:val="en-NZ"/>
        </w:rPr>
      </w:pPr>
      <w:r>
        <w:rPr>
          <w:rFonts w:cs="Arial"/>
          <w:szCs w:val="20"/>
          <w:lang w:val="en-NZ"/>
        </w:rPr>
        <w:t>ATNZ</w:t>
      </w:r>
      <w:r w:rsidRPr="0003653F">
        <w:rPr>
          <w:rFonts w:cs="Arial"/>
          <w:szCs w:val="20"/>
          <w:lang w:val="en-NZ"/>
        </w:rPr>
        <w:t xml:space="preserve"> shall work to identify and promptly resolve any form of harassment or unfair discrimination</w:t>
      </w:r>
      <w:r>
        <w:rPr>
          <w:rFonts w:cs="Arial"/>
          <w:szCs w:val="20"/>
          <w:lang w:val="en-NZ"/>
        </w:rPr>
        <w:t>.</w:t>
      </w:r>
      <w:r w:rsidRPr="0003653F">
        <w:rPr>
          <w:rFonts w:cs="Arial"/>
          <w:color w:val="auto"/>
          <w:szCs w:val="20"/>
          <w:lang w:val="en-NZ"/>
        </w:rPr>
        <w:t xml:space="preserve"> </w:t>
      </w:r>
    </w:p>
    <w:p w14:paraId="1E7789DA" w14:textId="6AF021B8" w:rsidR="001548F7" w:rsidRDefault="001548F7" w:rsidP="001548F7">
      <w:pPr>
        <w:pStyle w:val="BlockNumber"/>
        <w:numPr>
          <w:ilvl w:val="0"/>
          <w:numId w:val="0"/>
        </w:numPr>
        <w:shd w:val="clear" w:color="auto" w:fill="FFFFFF" w:themeFill="background1"/>
        <w:ind w:left="1587"/>
        <w:rPr>
          <w:rFonts w:cs="Arial"/>
          <w:color w:val="auto"/>
          <w:szCs w:val="20"/>
          <w:lang w:val="en-NZ"/>
        </w:rPr>
      </w:pPr>
    </w:p>
    <w:p w14:paraId="194A9285" w14:textId="77777777" w:rsidR="001548F7" w:rsidRPr="00B82F0D" w:rsidRDefault="001548F7" w:rsidP="001548F7">
      <w:pPr>
        <w:pStyle w:val="BlockNumber"/>
        <w:numPr>
          <w:ilvl w:val="0"/>
          <w:numId w:val="0"/>
        </w:numPr>
        <w:shd w:val="clear" w:color="auto" w:fill="FFFFFF" w:themeFill="background1"/>
        <w:ind w:left="1587"/>
        <w:rPr>
          <w:rFonts w:cs="Arial"/>
          <w:b/>
          <w:color w:val="auto"/>
          <w:szCs w:val="20"/>
          <w:lang w:val="en-NZ"/>
        </w:rPr>
      </w:pPr>
    </w:p>
    <w:p w14:paraId="7921980D" w14:textId="51E5B515" w:rsidR="001032CA" w:rsidRPr="00032FAF" w:rsidRDefault="005B449A" w:rsidP="001548F7">
      <w:pPr>
        <w:pStyle w:val="Heading1No"/>
        <w:rPr>
          <w:lang w:val="en-NZ"/>
        </w:rPr>
      </w:pPr>
      <w:bookmarkStart w:id="10" w:name="_Toc105753596"/>
      <w:r w:rsidRPr="001548F7">
        <w:t>Admission</w:t>
      </w:r>
      <w:r w:rsidRPr="00032FAF">
        <w:rPr>
          <w:lang w:val="en-NZ"/>
        </w:rPr>
        <w:t xml:space="preserve"> and Enrolment</w:t>
      </w:r>
      <w:bookmarkEnd w:id="8"/>
      <w:bookmarkEnd w:id="9"/>
      <w:bookmarkEnd w:id="10"/>
    </w:p>
    <w:p w14:paraId="18D3199F" w14:textId="77777777" w:rsidR="00876D42" w:rsidRPr="00032FAF" w:rsidRDefault="00764AA0" w:rsidP="00766BF9">
      <w:pPr>
        <w:pStyle w:val="Heading2No"/>
        <w:rPr>
          <w:rFonts w:cs="Arial"/>
          <w:szCs w:val="20"/>
          <w:lang w:val="en-NZ"/>
        </w:rPr>
      </w:pPr>
      <w:r w:rsidRPr="00032FAF">
        <w:rPr>
          <w:rFonts w:cs="Arial"/>
          <w:szCs w:val="20"/>
          <w:lang w:val="en-NZ"/>
        </w:rPr>
        <w:t>General provisions</w:t>
      </w:r>
    </w:p>
    <w:p w14:paraId="758A95A4" w14:textId="668AA50E" w:rsidR="00736967" w:rsidRPr="0003653F" w:rsidRDefault="00893B2F">
      <w:pPr>
        <w:pStyle w:val="BlockNumber"/>
        <w:ind w:left="1587" w:hanging="873"/>
        <w:rPr>
          <w:rFonts w:cs="Arial"/>
          <w:szCs w:val="20"/>
          <w:lang w:val="en-NZ"/>
        </w:rPr>
      </w:pPr>
      <w:r>
        <w:rPr>
          <w:rFonts w:cs="Arial"/>
          <w:szCs w:val="20"/>
          <w:lang w:val="en-NZ"/>
        </w:rPr>
        <w:t>Learner</w:t>
      </w:r>
      <w:r w:rsidR="005B449A" w:rsidRPr="0003653F">
        <w:rPr>
          <w:rFonts w:cs="Arial"/>
          <w:szCs w:val="20"/>
          <w:lang w:val="en-NZ"/>
        </w:rPr>
        <w:t>s must comply with the relevant enrolment policies and procedures applying to each programme.</w:t>
      </w:r>
    </w:p>
    <w:p w14:paraId="609BAD36" w14:textId="0E89AA09" w:rsidR="00675D57" w:rsidRPr="0003653F" w:rsidRDefault="00675D57" w:rsidP="00256C3B">
      <w:pPr>
        <w:pStyle w:val="BlockNumber"/>
        <w:spacing w:after="60"/>
        <w:ind w:left="1598" w:hanging="878"/>
        <w:rPr>
          <w:rFonts w:cs="Arial"/>
          <w:szCs w:val="20"/>
        </w:rPr>
      </w:pPr>
      <w:r w:rsidRPr="0003653F">
        <w:rPr>
          <w:rFonts w:cs="Arial"/>
          <w:szCs w:val="20"/>
        </w:rPr>
        <w:t xml:space="preserve">Before </w:t>
      </w:r>
      <w:r w:rsidR="00893B2F">
        <w:rPr>
          <w:rFonts w:cs="Arial"/>
          <w:szCs w:val="20"/>
        </w:rPr>
        <w:t>learner</w:t>
      </w:r>
      <w:r w:rsidR="00F938F8" w:rsidRPr="0003653F">
        <w:rPr>
          <w:rFonts w:cs="Arial"/>
          <w:szCs w:val="20"/>
        </w:rPr>
        <w:t>s</w:t>
      </w:r>
      <w:r w:rsidRPr="0003653F">
        <w:rPr>
          <w:rFonts w:cs="Arial"/>
          <w:szCs w:val="20"/>
        </w:rPr>
        <w:t xml:space="preserve"> can be enrolled at </w:t>
      </w:r>
      <w:r w:rsidR="00893B2F">
        <w:rPr>
          <w:rFonts w:cs="Arial"/>
          <w:szCs w:val="20"/>
        </w:rPr>
        <w:t>ATNZ</w:t>
      </w:r>
      <w:r w:rsidRPr="0003653F">
        <w:rPr>
          <w:rFonts w:cs="Arial"/>
          <w:szCs w:val="20"/>
        </w:rPr>
        <w:t xml:space="preserve"> they </w:t>
      </w:r>
      <w:r w:rsidR="00876D42" w:rsidRPr="0003653F">
        <w:rPr>
          <w:rFonts w:cs="Arial"/>
          <w:szCs w:val="20"/>
        </w:rPr>
        <w:t>must complete and sign</w:t>
      </w:r>
      <w:r w:rsidR="00DF44B9" w:rsidRPr="0003653F">
        <w:rPr>
          <w:rStyle w:val="FootnoteReference"/>
          <w:rFonts w:cs="Arial"/>
          <w:szCs w:val="20"/>
        </w:rPr>
        <w:footnoteReference w:id="1"/>
      </w:r>
      <w:r w:rsidR="00DF44B9" w:rsidRPr="0003653F">
        <w:rPr>
          <w:rFonts w:cs="Arial"/>
          <w:szCs w:val="20"/>
        </w:rPr>
        <w:t xml:space="preserve"> </w:t>
      </w:r>
      <w:r w:rsidR="005156AD" w:rsidRPr="0003653F">
        <w:rPr>
          <w:rFonts w:cs="Arial"/>
          <w:szCs w:val="20"/>
        </w:rPr>
        <w:t>a</w:t>
      </w:r>
      <w:r w:rsidR="0094056C" w:rsidRPr="0003653F">
        <w:rPr>
          <w:rFonts w:cs="Arial"/>
          <w:szCs w:val="20"/>
        </w:rPr>
        <w:t>n</w:t>
      </w:r>
      <w:r w:rsidR="00556F80" w:rsidRPr="0003653F">
        <w:rPr>
          <w:rFonts w:cs="Arial"/>
          <w:szCs w:val="20"/>
        </w:rPr>
        <w:t xml:space="preserve">y relevant forms for admission, registration and </w:t>
      </w:r>
      <w:r w:rsidR="0011639B" w:rsidRPr="0003653F">
        <w:rPr>
          <w:rFonts w:cs="Arial"/>
          <w:szCs w:val="20"/>
        </w:rPr>
        <w:t xml:space="preserve">enrolment </w:t>
      </w:r>
      <w:r w:rsidRPr="0003653F">
        <w:rPr>
          <w:rFonts w:cs="Arial"/>
          <w:szCs w:val="20"/>
        </w:rPr>
        <w:t>and produce</w:t>
      </w:r>
      <w:r w:rsidR="00166460" w:rsidRPr="0003653F">
        <w:rPr>
          <w:rFonts w:cs="Arial"/>
          <w:szCs w:val="20"/>
        </w:rPr>
        <w:t xml:space="preserve"> the</w:t>
      </w:r>
      <w:r w:rsidRPr="0003653F">
        <w:rPr>
          <w:rFonts w:cs="Arial"/>
          <w:szCs w:val="20"/>
        </w:rPr>
        <w:t xml:space="preserve"> evidence</w:t>
      </w:r>
      <w:r w:rsidR="00F14DFC" w:rsidRPr="0003653F">
        <w:rPr>
          <w:rFonts w:cs="Arial"/>
          <w:szCs w:val="20"/>
        </w:rPr>
        <w:t xml:space="preserve"> </w:t>
      </w:r>
      <w:r w:rsidR="00556F80" w:rsidRPr="0003653F">
        <w:rPr>
          <w:rFonts w:cs="Arial"/>
          <w:szCs w:val="20"/>
        </w:rPr>
        <w:t xml:space="preserve">specified </w:t>
      </w:r>
      <w:r w:rsidR="00A75435" w:rsidRPr="0003653F">
        <w:rPr>
          <w:rFonts w:cs="Arial"/>
          <w:szCs w:val="20"/>
        </w:rPr>
        <w:t>on the form</w:t>
      </w:r>
      <w:r w:rsidRPr="0003653F">
        <w:rPr>
          <w:rFonts w:cs="Arial"/>
          <w:szCs w:val="20"/>
        </w:rPr>
        <w:t xml:space="preserve"> of:</w:t>
      </w:r>
    </w:p>
    <w:p w14:paraId="4F50DB8A" w14:textId="77777777" w:rsidR="00675D57" w:rsidRPr="0003653F" w:rsidRDefault="00675D57" w:rsidP="00675D57">
      <w:pPr>
        <w:pStyle w:val="Bullet1"/>
        <w:tabs>
          <w:tab w:val="clear" w:pos="1494"/>
        </w:tabs>
        <w:ind w:left="2127" w:hanging="426"/>
        <w:rPr>
          <w:rFonts w:cs="Arial"/>
        </w:rPr>
      </w:pPr>
      <w:r w:rsidRPr="0003653F">
        <w:rPr>
          <w:rFonts w:cs="Arial"/>
        </w:rPr>
        <w:lastRenderedPageBreak/>
        <w:t xml:space="preserve">Full legal </w:t>
      </w:r>
      <w:proofErr w:type="gramStart"/>
      <w:r w:rsidRPr="0003653F">
        <w:rPr>
          <w:rFonts w:cs="Arial"/>
        </w:rPr>
        <w:t>name;</w:t>
      </w:r>
      <w:proofErr w:type="gramEnd"/>
      <w:r w:rsidRPr="0003653F">
        <w:rPr>
          <w:rFonts w:cs="Arial"/>
        </w:rPr>
        <w:t xml:space="preserve"> </w:t>
      </w:r>
    </w:p>
    <w:p w14:paraId="6C031EB0" w14:textId="77777777" w:rsidR="00675D57" w:rsidRPr="0003653F" w:rsidRDefault="00F938F8" w:rsidP="00675D57">
      <w:pPr>
        <w:pStyle w:val="Bullet1"/>
        <w:tabs>
          <w:tab w:val="clear" w:pos="1494"/>
        </w:tabs>
        <w:ind w:left="2127" w:hanging="426"/>
        <w:rPr>
          <w:rFonts w:cs="Arial"/>
        </w:rPr>
      </w:pPr>
      <w:r w:rsidRPr="0003653F">
        <w:rPr>
          <w:rFonts w:cs="Arial"/>
        </w:rPr>
        <w:t xml:space="preserve">Date of </w:t>
      </w:r>
      <w:proofErr w:type="gramStart"/>
      <w:r w:rsidRPr="0003653F">
        <w:rPr>
          <w:rFonts w:cs="Arial"/>
        </w:rPr>
        <w:t>birth;</w:t>
      </w:r>
      <w:proofErr w:type="gramEnd"/>
    </w:p>
    <w:p w14:paraId="4EBD32CF" w14:textId="1993878D" w:rsidR="00675D57" w:rsidRDefault="00675D57" w:rsidP="00675D57">
      <w:pPr>
        <w:pStyle w:val="Bullet1"/>
        <w:tabs>
          <w:tab w:val="clear" w:pos="1494"/>
        </w:tabs>
        <w:ind w:left="2127" w:hanging="426"/>
        <w:rPr>
          <w:rFonts w:cs="Arial"/>
        </w:rPr>
      </w:pPr>
      <w:r w:rsidRPr="0003653F">
        <w:rPr>
          <w:rFonts w:cs="Arial"/>
        </w:rPr>
        <w:t>Gender</w:t>
      </w:r>
      <w:r w:rsidR="00DB4FCE">
        <w:rPr>
          <w:rFonts w:cs="Arial"/>
        </w:rPr>
        <w:t xml:space="preserve"> </w:t>
      </w:r>
      <w:proofErr w:type="gramStart"/>
      <w:r w:rsidR="00DB4FCE">
        <w:rPr>
          <w:rFonts w:cs="Arial"/>
        </w:rPr>
        <w:t>identity</w:t>
      </w:r>
      <w:r w:rsidRPr="0003653F">
        <w:rPr>
          <w:rFonts w:cs="Arial"/>
        </w:rPr>
        <w:t>;</w:t>
      </w:r>
      <w:proofErr w:type="gramEnd"/>
      <w:r w:rsidRPr="0003653F">
        <w:rPr>
          <w:rFonts w:cs="Arial"/>
        </w:rPr>
        <w:t xml:space="preserve"> </w:t>
      </w:r>
    </w:p>
    <w:p w14:paraId="4B215B38" w14:textId="24D5586F" w:rsidR="00675D57" w:rsidRPr="000B792B" w:rsidRDefault="00675D57" w:rsidP="00566D87">
      <w:pPr>
        <w:pStyle w:val="Bullet1"/>
        <w:numPr>
          <w:ilvl w:val="0"/>
          <w:numId w:val="28"/>
        </w:numPr>
        <w:ind w:left="2127" w:hanging="426"/>
        <w:rPr>
          <w:rFonts w:cs="Arial"/>
        </w:rPr>
      </w:pPr>
      <w:r w:rsidRPr="000B792B">
        <w:rPr>
          <w:rFonts w:cs="Arial"/>
        </w:rPr>
        <w:t>New Zealand citizenship</w:t>
      </w:r>
      <w:r w:rsidR="00BD32CC" w:rsidRPr="000B792B">
        <w:rPr>
          <w:rFonts w:cs="Arial"/>
        </w:rPr>
        <w:t>,</w:t>
      </w:r>
      <w:r w:rsidRPr="000B792B">
        <w:rPr>
          <w:rFonts w:cs="Arial"/>
        </w:rPr>
        <w:t xml:space="preserve"> residency </w:t>
      </w:r>
      <w:r w:rsidR="00EB7ED7" w:rsidRPr="000B792B">
        <w:rPr>
          <w:rFonts w:cs="Arial"/>
        </w:rPr>
        <w:t>status</w:t>
      </w:r>
      <w:r w:rsidR="00B452A1" w:rsidRPr="000B792B">
        <w:rPr>
          <w:rFonts w:cs="Arial"/>
        </w:rPr>
        <w:t xml:space="preserve"> or </w:t>
      </w:r>
      <w:r w:rsidR="000B792B" w:rsidRPr="000B792B">
        <w:rPr>
          <w:rFonts w:cs="Arial"/>
        </w:rPr>
        <w:t>evidence of entitlement to study as a domestic learner</w:t>
      </w:r>
      <w:r w:rsidRPr="000B792B">
        <w:rPr>
          <w:rFonts w:cs="Arial"/>
        </w:rPr>
        <w:t xml:space="preserve">; </w:t>
      </w:r>
      <w:r w:rsidR="00B06EF9" w:rsidRPr="000B792B">
        <w:rPr>
          <w:rFonts w:cs="Arial"/>
        </w:rPr>
        <w:t>and</w:t>
      </w:r>
    </w:p>
    <w:p w14:paraId="59B54FE1" w14:textId="6EA607A4" w:rsidR="00675D57" w:rsidRDefault="00675D57" w:rsidP="00675D57">
      <w:pPr>
        <w:pStyle w:val="Bullet1"/>
        <w:tabs>
          <w:tab w:val="clear" w:pos="1494"/>
        </w:tabs>
        <w:ind w:left="2127" w:hanging="426"/>
        <w:rPr>
          <w:rFonts w:cs="Arial"/>
        </w:rPr>
      </w:pPr>
      <w:r w:rsidRPr="0003653F">
        <w:rPr>
          <w:rFonts w:cs="Arial"/>
        </w:rPr>
        <w:t>Any other evidence relevant to their enrolment.</w:t>
      </w:r>
    </w:p>
    <w:p w14:paraId="72801E7A" w14:textId="381E30EC" w:rsidR="000B792B" w:rsidRDefault="000B792B" w:rsidP="000B792B">
      <w:pPr>
        <w:pStyle w:val="Bullet1"/>
        <w:numPr>
          <w:ilvl w:val="0"/>
          <w:numId w:val="0"/>
        </w:numPr>
        <w:ind w:left="1701"/>
        <w:rPr>
          <w:rFonts w:cs="Arial"/>
        </w:rPr>
      </w:pPr>
    </w:p>
    <w:p w14:paraId="79479849" w14:textId="6F571BB4" w:rsidR="000B792B" w:rsidRDefault="000B792B" w:rsidP="000B792B">
      <w:pPr>
        <w:pStyle w:val="Bullet1"/>
        <w:numPr>
          <w:ilvl w:val="0"/>
          <w:numId w:val="0"/>
        </w:numPr>
        <w:ind w:left="1560"/>
        <w:rPr>
          <w:rFonts w:cs="Arial"/>
        </w:rPr>
      </w:pPr>
      <w:r>
        <w:rPr>
          <w:rFonts w:cs="Arial"/>
        </w:rPr>
        <w:t xml:space="preserve">For clarity, ATNZ will not </w:t>
      </w:r>
      <w:proofErr w:type="spellStart"/>
      <w:r>
        <w:rPr>
          <w:rFonts w:cs="Arial"/>
        </w:rPr>
        <w:t>enrol</w:t>
      </w:r>
      <w:proofErr w:type="spellEnd"/>
      <w:r>
        <w:rPr>
          <w:rFonts w:cs="Arial"/>
        </w:rPr>
        <w:t xml:space="preserve"> international learners. </w:t>
      </w:r>
    </w:p>
    <w:p w14:paraId="7BCECA76" w14:textId="473A1DA8" w:rsidR="000117F4" w:rsidRDefault="000117F4" w:rsidP="000B792B">
      <w:pPr>
        <w:pStyle w:val="Bullet1"/>
        <w:numPr>
          <w:ilvl w:val="0"/>
          <w:numId w:val="0"/>
        </w:numPr>
        <w:ind w:left="1560"/>
        <w:rPr>
          <w:rFonts w:cs="Arial"/>
        </w:rPr>
      </w:pPr>
    </w:p>
    <w:p w14:paraId="1B909B90" w14:textId="547D1D4A" w:rsidR="000117F4" w:rsidRPr="003A4F4A" w:rsidRDefault="00094973" w:rsidP="2B83E68E">
      <w:pPr>
        <w:pStyle w:val="Bullet1"/>
        <w:numPr>
          <w:ilvl w:val="0"/>
          <w:numId w:val="0"/>
        </w:numPr>
        <w:ind w:left="1560"/>
        <w:rPr>
          <w:rFonts w:cs="Arial"/>
        </w:rPr>
      </w:pPr>
      <w:r w:rsidRPr="003A4F4A">
        <w:rPr>
          <w:rFonts w:cs="Arial"/>
        </w:rPr>
        <w:t xml:space="preserve">Learners enrolling in programmes </w:t>
      </w:r>
      <w:r w:rsidR="00A3042B" w:rsidRPr="003A4F4A">
        <w:rPr>
          <w:rFonts w:cs="Arial"/>
        </w:rPr>
        <w:t>where enrolment is reported through the Industry Training Register (Apprenticeship Programmes) will complete a Training Agreement whereas all other learners will complete an Enrolment Form</w:t>
      </w:r>
      <w:r w:rsidR="0059265C" w:rsidRPr="003A4F4A">
        <w:rPr>
          <w:rFonts w:cs="Arial"/>
        </w:rPr>
        <w:t>.</w:t>
      </w:r>
    </w:p>
    <w:p w14:paraId="1BC65118" w14:textId="7B15AE3D" w:rsidR="00736967" w:rsidRDefault="00FC37A2" w:rsidP="00DF44B9">
      <w:pPr>
        <w:pStyle w:val="BlockNumber"/>
        <w:ind w:left="1587" w:hanging="873"/>
        <w:rPr>
          <w:rFonts w:cs="Arial"/>
          <w:szCs w:val="20"/>
        </w:rPr>
      </w:pPr>
      <w:r w:rsidRPr="0003653F">
        <w:rPr>
          <w:rFonts w:cs="Arial"/>
          <w:szCs w:val="20"/>
        </w:rPr>
        <w:t>Where</w:t>
      </w:r>
      <w:r w:rsidR="00640E36" w:rsidRPr="0003653F">
        <w:rPr>
          <w:rFonts w:cs="Arial"/>
          <w:szCs w:val="20"/>
        </w:rPr>
        <w:t xml:space="preserve"> a </w:t>
      </w:r>
      <w:r w:rsidR="00893B2F">
        <w:rPr>
          <w:rFonts w:cs="Arial"/>
          <w:szCs w:val="20"/>
        </w:rPr>
        <w:t>learner</w:t>
      </w:r>
      <w:r w:rsidR="00640E36" w:rsidRPr="0003653F">
        <w:rPr>
          <w:rFonts w:cs="Arial"/>
          <w:szCs w:val="20"/>
        </w:rPr>
        <w:t xml:space="preserve"> has a legal guardian or has granted power of attorney to someone else, then that person may sign the form on behalf of the </w:t>
      </w:r>
      <w:r w:rsidR="00893B2F">
        <w:rPr>
          <w:rFonts w:cs="Arial"/>
          <w:szCs w:val="20"/>
        </w:rPr>
        <w:t>learner</w:t>
      </w:r>
      <w:r w:rsidR="00640E36" w:rsidRPr="0003653F">
        <w:rPr>
          <w:rFonts w:cs="Arial"/>
          <w:szCs w:val="20"/>
        </w:rPr>
        <w:t>.</w:t>
      </w:r>
      <w:r w:rsidR="008713B2">
        <w:rPr>
          <w:rFonts w:cs="Arial"/>
          <w:szCs w:val="20"/>
        </w:rPr>
        <w:t xml:space="preserve"> </w:t>
      </w:r>
    </w:p>
    <w:p w14:paraId="2221BDD8" w14:textId="316FA553" w:rsidR="007C1197" w:rsidRPr="0003653F" w:rsidRDefault="007C1197" w:rsidP="00DF44B9">
      <w:pPr>
        <w:pStyle w:val="BlockNumber"/>
        <w:ind w:left="1587" w:hanging="873"/>
        <w:rPr>
          <w:rFonts w:cs="Arial"/>
          <w:szCs w:val="20"/>
        </w:rPr>
      </w:pPr>
      <w:r>
        <w:rPr>
          <w:rFonts w:cs="Arial"/>
          <w:szCs w:val="20"/>
        </w:rPr>
        <w:t xml:space="preserve">A parent or guardian may be required to sign or countersign the enrolment form for </w:t>
      </w:r>
      <w:r w:rsidR="00893B2F">
        <w:rPr>
          <w:rFonts w:cs="Arial"/>
          <w:szCs w:val="20"/>
        </w:rPr>
        <w:t>learner</w:t>
      </w:r>
      <w:r>
        <w:rPr>
          <w:rFonts w:cs="Arial"/>
          <w:szCs w:val="20"/>
        </w:rPr>
        <w:t>s aged under 18 years of age.</w:t>
      </w:r>
    </w:p>
    <w:p w14:paraId="037CBCD2" w14:textId="65A71E10" w:rsidR="00736967" w:rsidRDefault="00876D42">
      <w:pPr>
        <w:pStyle w:val="BlockNumber"/>
        <w:ind w:left="1587" w:hanging="873"/>
        <w:rPr>
          <w:rFonts w:cs="Arial"/>
          <w:szCs w:val="20"/>
          <w:lang w:val="en-NZ"/>
        </w:rPr>
      </w:pPr>
      <w:r w:rsidRPr="0003653F">
        <w:rPr>
          <w:rFonts w:cs="Arial"/>
          <w:szCs w:val="20"/>
          <w:lang w:val="en-NZ"/>
        </w:rPr>
        <w:t>Failu</w:t>
      </w:r>
      <w:r w:rsidR="005156AD" w:rsidRPr="0003653F">
        <w:rPr>
          <w:rFonts w:cs="Arial"/>
          <w:szCs w:val="20"/>
          <w:lang w:val="en-NZ"/>
        </w:rPr>
        <w:t xml:space="preserve">re by </w:t>
      </w:r>
      <w:r w:rsidR="00893B2F">
        <w:rPr>
          <w:rFonts w:cs="Arial"/>
          <w:szCs w:val="20"/>
          <w:lang w:val="en-NZ"/>
        </w:rPr>
        <w:t>learner</w:t>
      </w:r>
      <w:r w:rsidR="002F764A" w:rsidRPr="0003653F">
        <w:rPr>
          <w:rFonts w:cs="Arial"/>
          <w:szCs w:val="20"/>
          <w:lang w:val="en-NZ"/>
        </w:rPr>
        <w:t>s</w:t>
      </w:r>
      <w:r w:rsidR="005156AD" w:rsidRPr="0003653F">
        <w:rPr>
          <w:rFonts w:cs="Arial"/>
          <w:szCs w:val="20"/>
          <w:lang w:val="en-NZ"/>
        </w:rPr>
        <w:t xml:space="preserve"> to complete a</w:t>
      </w:r>
      <w:r w:rsidR="0094056C" w:rsidRPr="0003653F">
        <w:rPr>
          <w:rFonts w:cs="Arial"/>
          <w:szCs w:val="20"/>
          <w:lang w:val="en-NZ"/>
        </w:rPr>
        <w:t>n</w:t>
      </w:r>
      <w:r w:rsidR="005156AD" w:rsidRPr="0003653F">
        <w:rPr>
          <w:rFonts w:cs="Arial"/>
          <w:szCs w:val="20"/>
          <w:lang w:val="en-NZ"/>
        </w:rPr>
        <w:t xml:space="preserve"> </w:t>
      </w:r>
      <w:r w:rsidR="00893B2F">
        <w:rPr>
          <w:rFonts w:cs="Arial"/>
          <w:szCs w:val="20"/>
          <w:lang w:val="en-NZ"/>
        </w:rPr>
        <w:t>ATNZ</w:t>
      </w:r>
      <w:r w:rsidR="00BC063C" w:rsidRPr="0003653F">
        <w:rPr>
          <w:rFonts w:cs="Arial"/>
          <w:szCs w:val="20"/>
          <w:lang w:val="en-NZ"/>
        </w:rPr>
        <w:t xml:space="preserve"> </w:t>
      </w:r>
      <w:r w:rsidR="00F938F8" w:rsidRPr="0003653F">
        <w:rPr>
          <w:rFonts w:cs="Arial"/>
          <w:szCs w:val="20"/>
        </w:rPr>
        <w:t>admission, registration</w:t>
      </w:r>
      <w:r w:rsidR="00BC0FE8">
        <w:rPr>
          <w:rFonts w:cs="Arial"/>
          <w:szCs w:val="20"/>
        </w:rPr>
        <w:t xml:space="preserve">, Training Agreement </w:t>
      </w:r>
      <w:r w:rsidR="00F938F8" w:rsidRPr="0003653F">
        <w:rPr>
          <w:rFonts w:cs="Arial"/>
          <w:szCs w:val="20"/>
        </w:rPr>
        <w:t xml:space="preserve">or </w:t>
      </w:r>
      <w:r w:rsidR="00BC0FE8">
        <w:rPr>
          <w:rFonts w:cs="Arial"/>
          <w:szCs w:val="20"/>
        </w:rPr>
        <w:t>E</w:t>
      </w:r>
      <w:r w:rsidR="00F938F8" w:rsidRPr="0003653F">
        <w:rPr>
          <w:rFonts w:cs="Arial"/>
          <w:szCs w:val="20"/>
        </w:rPr>
        <w:t xml:space="preserve">nrolment </w:t>
      </w:r>
      <w:r w:rsidR="00BC0FE8">
        <w:rPr>
          <w:rFonts w:cs="Arial"/>
          <w:szCs w:val="20"/>
        </w:rPr>
        <w:t>F</w:t>
      </w:r>
      <w:r w:rsidR="00F938F8" w:rsidRPr="0003653F">
        <w:rPr>
          <w:rFonts w:cs="Arial"/>
          <w:szCs w:val="20"/>
        </w:rPr>
        <w:t xml:space="preserve">orm </w:t>
      </w:r>
      <w:r w:rsidRPr="0003653F">
        <w:rPr>
          <w:rFonts w:cs="Arial"/>
          <w:szCs w:val="20"/>
          <w:lang w:val="en-NZ"/>
        </w:rPr>
        <w:t>correctly and truthfully</w:t>
      </w:r>
      <w:r w:rsidR="00470E77" w:rsidRPr="0003653F">
        <w:rPr>
          <w:rFonts w:cs="Arial"/>
          <w:szCs w:val="20"/>
          <w:lang w:val="en-NZ"/>
        </w:rPr>
        <w:t>,</w:t>
      </w:r>
      <w:r w:rsidRPr="0003653F">
        <w:rPr>
          <w:rFonts w:cs="Arial"/>
          <w:szCs w:val="20"/>
          <w:lang w:val="en-NZ"/>
        </w:rPr>
        <w:t xml:space="preserve"> or to</w:t>
      </w:r>
      <w:r w:rsidR="00954464" w:rsidRPr="0003653F">
        <w:rPr>
          <w:rFonts w:cs="Arial"/>
          <w:szCs w:val="20"/>
          <w:lang w:val="en-NZ"/>
        </w:rPr>
        <w:t xml:space="preserve"> provide</w:t>
      </w:r>
      <w:r w:rsidRPr="0003653F">
        <w:rPr>
          <w:rFonts w:cs="Arial"/>
          <w:szCs w:val="20"/>
          <w:lang w:val="en-NZ"/>
        </w:rPr>
        <w:t xml:space="preserve"> the necessary documents to confirm identity, </w:t>
      </w:r>
      <w:proofErr w:type="gramStart"/>
      <w:r w:rsidRPr="0003653F">
        <w:rPr>
          <w:rFonts w:cs="Arial"/>
          <w:szCs w:val="20"/>
          <w:lang w:val="en-NZ"/>
        </w:rPr>
        <w:t>citizenship</w:t>
      </w:r>
      <w:proofErr w:type="gramEnd"/>
      <w:r w:rsidRPr="0003653F">
        <w:rPr>
          <w:rFonts w:cs="Arial"/>
          <w:szCs w:val="20"/>
          <w:lang w:val="en-NZ"/>
        </w:rPr>
        <w:t xml:space="preserve"> and qualifications, may result in th</w:t>
      </w:r>
      <w:r w:rsidR="002F764A" w:rsidRPr="0003653F">
        <w:rPr>
          <w:rFonts w:cs="Arial"/>
          <w:szCs w:val="20"/>
          <w:lang w:val="en-NZ"/>
        </w:rPr>
        <w:t>eir</w:t>
      </w:r>
      <w:r w:rsidRPr="0003653F">
        <w:rPr>
          <w:rFonts w:cs="Arial"/>
          <w:szCs w:val="20"/>
          <w:lang w:val="en-NZ"/>
        </w:rPr>
        <w:t xml:space="preserve"> application </w:t>
      </w:r>
      <w:r w:rsidR="001170B1" w:rsidRPr="0003653F">
        <w:rPr>
          <w:rFonts w:cs="Arial"/>
          <w:szCs w:val="20"/>
          <w:lang w:val="en-NZ"/>
        </w:rPr>
        <w:t xml:space="preserve">being declined </w:t>
      </w:r>
      <w:r w:rsidRPr="0003653F">
        <w:rPr>
          <w:rFonts w:cs="Arial"/>
          <w:szCs w:val="20"/>
          <w:lang w:val="en-NZ"/>
        </w:rPr>
        <w:t>or enrolment cancelled</w:t>
      </w:r>
      <w:r w:rsidR="00E46087" w:rsidRPr="0003653F">
        <w:rPr>
          <w:rFonts w:cs="Arial"/>
          <w:szCs w:val="20"/>
          <w:lang w:val="en-NZ"/>
        </w:rPr>
        <w:t xml:space="preserve"> (see section </w:t>
      </w:r>
      <w:r w:rsidR="00245601">
        <w:rPr>
          <w:rFonts w:cs="Arial"/>
          <w:szCs w:val="20"/>
          <w:lang w:val="en-NZ"/>
        </w:rPr>
        <w:t>3</w:t>
      </w:r>
      <w:r w:rsidR="00E46087" w:rsidRPr="0003653F">
        <w:rPr>
          <w:rFonts w:cs="Arial"/>
          <w:szCs w:val="20"/>
          <w:lang w:val="en-NZ"/>
        </w:rPr>
        <w:t>.8</w:t>
      </w:r>
      <w:r w:rsidR="00F938F8" w:rsidRPr="0003653F">
        <w:rPr>
          <w:rFonts w:cs="Arial"/>
          <w:szCs w:val="20"/>
          <w:lang w:val="en-NZ"/>
        </w:rPr>
        <w:t xml:space="preserve">: Refusal </w:t>
      </w:r>
      <w:r w:rsidR="00CF7C68" w:rsidRPr="0003653F">
        <w:rPr>
          <w:rFonts w:cs="Arial"/>
          <w:szCs w:val="20"/>
          <w:lang w:val="en-NZ"/>
        </w:rPr>
        <w:t>or</w:t>
      </w:r>
      <w:r w:rsidR="00F938F8" w:rsidRPr="0003653F">
        <w:rPr>
          <w:rFonts w:cs="Arial"/>
          <w:szCs w:val="20"/>
          <w:lang w:val="en-NZ"/>
        </w:rPr>
        <w:t xml:space="preserve"> cancellation of enrolment</w:t>
      </w:r>
      <w:r w:rsidR="00E46087" w:rsidRPr="0003653F">
        <w:rPr>
          <w:rFonts w:cs="Arial"/>
          <w:szCs w:val="20"/>
          <w:lang w:val="en-NZ"/>
        </w:rPr>
        <w:t>)</w:t>
      </w:r>
      <w:r w:rsidRPr="0003653F">
        <w:rPr>
          <w:rFonts w:cs="Arial"/>
          <w:szCs w:val="20"/>
          <w:lang w:val="en-NZ"/>
        </w:rPr>
        <w:t xml:space="preserve">. </w:t>
      </w:r>
    </w:p>
    <w:p w14:paraId="73A024D9" w14:textId="4DE6C90C" w:rsidR="006048F1" w:rsidRDefault="00495548">
      <w:pPr>
        <w:pStyle w:val="BlockNumber"/>
        <w:ind w:left="1587" w:hanging="873"/>
        <w:rPr>
          <w:rFonts w:cs="Arial"/>
          <w:szCs w:val="20"/>
          <w:lang w:val="en-NZ"/>
        </w:rPr>
      </w:pPr>
      <w:r>
        <w:rPr>
          <w:rFonts w:cs="Arial"/>
          <w:szCs w:val="20"/>
          <w:lang w:val="en-NZ"/>
        </w:rPr>
        <w:t xml:space="preserve">Learners must not be enrolled into the funded component of any programme or course where they </w:t>
      </w:r>
      <w:r w:rsidR="00DF574F">
        <w:rPr>
          <w:rFonts w:cs="Arial"/>
          <w:szCs w:val="20"/>
          <w:lang w:val="en-NZ"/>
        </w:rPr>
        <w:t xml:space="preserve">have prior learning or achievement </w:t>
      </w:r>
      <w:r w:rsidR="00726E86">
        <w:rPr>
          <w:rFonts w:cs="Arial"/>
          <w:szCs w:val="20"/>
          <w:lang w:val="en-NZ"/>
        </w:rPr>
        <w:t xml:space="preserve">that could be recognised at the time of enrolment through the application of Section </w:t>
      </w:r>
      <w:r w:rsidR="00CD1D84">
        <w:rPr>
          <w:rFonts w:cs="Arial"/>
          <w:szCs w:val="20"/>
          <w:lang w:val="en-NZ"/>
        </w:rPr>
        <w:t>11</w:t>
      </w:r>
      <w:r w:rsidR="00726E86">
        <w:rPr>
          <w:rFonts w:cs="Arial"/>
          <w:szCs w:val="20"/>
          <w:lang w:val="en-NZ"/>
        </w:rPr>
        <w:t xml:space="preserve"> of these Regulations. </w:t>
      </w:r>
    </w:p>
    <w:p w14:paraId="29BBB192" w14:textId="7201CA39" w:rsidR="00BE12FB" w:rsidRPr="0003653F" w:rsidRDefault="006E3FBB">
      <w:pPr>
        <w:pStyle w:val="BlockNumber"/>
        <w:ind w:left="1587" w:hanging="873"/>
        <w:rPr>
          <w:rFonts w:cs="Arial"/>
          <w:szCs w:val="20"/>
          <w:lang w:val="en-NZ"/>
        </w:rPr>
      </w:pPr>
      <w:r>
        <w:rPr>
          <w:rFonts w:cs="Arial"/>
          <w:szCs w:val="20"/>
          <w:lang w:val="en-NZ"/>
        </w:rPr>
        <w:t xml:space="preserve">Learners may only enrol in a programme </w:t>
      </w:r>
      <w:r w:rsidR="002D772C">
        <w:rPr>
          <w:rFonts w:cs="Arial"/>
          <w:szCs w:val="20"/>
          <w:lang w:val="en-NZ"/>
        </w:rPr>
        <w:t xml:space="preserve">or </w:t>
      </w:r>
      <w:proofErr w:type="spellStart"/>
      <w:r w:rsidR="002D772C">
        <w:rPr>
          <w:rFonts w:cs="Arial"/>
          <w:szCs w:val="20"/>
          <w:lang w:val="en-NZ"/>
        </w:rPr>
        <w:t>microcredential</w:t>
      </w:r>
      <w:proofErr w:type="spellEnd"/>
      <w:r w:rsidR="002D772C">
        <w:rPr>
          <w:rFonts w:cs="Arial"/>
          <w:szCs w:val="20"/>
          <w:lang w:val="en-NZ"/>
        </w:rPr>
        <w:t xml:space="preserve"> </w:t>
      </w:r>
      <w:r>
        <w:rPr>
          <w:rFonts w:cs="Arial"/>
          <w:szCs w:val="20"/>
          <w:lang w:val="en-NZ"/>
        </w:rPr>
        <w:t>to be delivered through work</w:t>
      </w:r>
      <w:r w:rsidR="004E6820">
        <w:rPr>
          <w:rFonts w:cs="Arial"/>
          <w:szCs w:val="20"/>
          <w:lang w:val="en-NZ"/>
        </w:rPr>
        <w:t>-</w:t>
      </w:r>
      <w:r>
        <w:rPr>
          <w:rFonts w:cs="Arial"/>
          <w:szCs w:val="20"/>
          <w:lang w:val="en-NZ"/>
        </w:rPr>
        <w:t xml:space="preserve">based delivery </w:t>
      </w:r>
      <w:r w:rsidR="004E6820">
        <w:rPr>
          <w:rFonts w:cs="Arial"/>
          <w:szCs w:val="20"/>
          <w:lang w:val="en-NZ"/>
        </w:rPr>
        <w:t>where they have an employment agreement</w:t>
      </w:r>
      <w:r w:rsidR="003F67E4">
        <w:rPr>
          <w:rFonts w:cs="Arial"/>
          <w:szCs w:val="20"/>
          <w:lang w:val="en-NZ"/>
        </w:rPr>
        <w:t xml:space="preserve"> or alternative arrangements </w:t>
      </w:r>
      <w:r w:rsidR="00036A8C">
        <w:rPr>
          <w:rFonts w:cs="Arial"/>
          <w:szCs w:val="20"/>
          <w:lang w:val="en-NZ"/>
        </w:rPr>
        <w:t xml:space="preserve">in place </w:t>
      </w:r>
      <w:r w:rsidR="00577B29">
        <w:rPr>
          <w:rFonts w:cs="Arial"/>
          <w:szCs w:val="20"/>
          <w:lang w:val="en-NZ"/>
        </w:rPr>
        <w:t xml:space="preserve">with a </w:t>
      </w:r>
      <w:proofErr w:type="gramStart"/>
      <w:r w:rsidR="00577B29">
        <w:rPr>
          <w:rFonts w:cs="Arial"/>
          <w:szCs w:val="20"/>
          <w:lang w:val="en-NZ"/>
        </w:rPr>
        <w:t>work place</w:t>
      </w:r>
      <w:proofErr w:type="gramEnd"/>
      <w:r w:rsidR="00577B29">
        <w:rPr>
          <w:rFonts w:cs="Arial"/>
          <w:szCs w:val="20"/>
          <w:lang w:val="en-NZ"/>
        </w:rPr>
        <w:t xml:space="preserve"> that is able to provide the learning opportunities required by the programme </w:t>
      </w:r>
      <w:r w:rsidR="002D772C">
        <w:rPr>
          <w:rFonts w:cs="Arial"/>
          <w:szCs w:val="20"/>
          <w:lang w:val="en-NZ"/>
        </w:rPr>
        <w:t xml:space="preserve">or </w:t>
      </w:r>
      <w:proofErr w:type="spellStart"/>
      <w:r w:rsidR="002D772C">
        <w:rPr>
          <w:rFonts w:cs="Arial"/>
          <w:szCs w:val="20"/>
          <w:lang w:val="en-NZ"/>
        </w:rPr>
        <w:t>microcredential</w:t>
      </w:r>
      <w:proofErr w:type="spellEnd"/>
      <w:r w:rsidR="002D772C">
        <w:rPr>
          <w:rFonts w:cs="Arial"/>
          <w:szCs w:val="20"/>
          <w:lang w:val="en-NZ"/>
        </w:rPr>
        <w:t xml:space="preserve"> </w:t>
      </w:r>
      <w:r w:rsidR="00577B29">
        <w:rPr>
          <w:rFonts w:cs="Arial"/>
          <w:szCs w:val="20"/>
          <w:lang w:val="en-NZ"/>
        </w:rPr>
        <w:t xml:space="preserve">and </w:t>
      </w:r>
      <w:r w:rsidR="00036A8C">
        <w:rPr>
          <w:rFonts w:cs="Arial"/>
          <w:szCs w:val="20"/>
          <w:lang w:val="en-NZ"/>
        </w:rPr>
        <w:t>that can ensure the health, safety and wellness of the learner to ATNZ’s satisfaction.</w:t>
      </w:r>
      <w:r w:rsidR="004E6820">
        <w:rPr>
          <w:rFonts w:cs="Arial"/>
          <w:szCs w:val="20"/>
          <w:lang w:val="en-NZ"/>
        </w:rPr>
        <w:t xml:space="preserve"> </w:t>
      </w:r>
    </w:p>
    <w:p w14:paraId="22365626" w14:textId="77777777" w:rsidR="00482BF9" w:rsidRPr="0003653F" w:rsidRDefault="00482BF9" w:rsidP="00482BF9">
      <w:pPr>
        <w:pStyle w:val="BlockNumber"/>
        <w:numPr>
          <w:ilvl w:val="0"/>
          <w:numId w:val="0"/>
        </w:numPr>
        <w:ind w:left="1587"/>
        <w:rPr>
          <w:rFonts w:cs="Arial"/>
          <w:szCs w:val="20"/>
          <w:lang w:val="en-NZ"/>
        </w:rPr>
      </w:pPr>
    </w:p>
    <w:p w14:paraId="1993C766" w14:textId="77777777" w:rsidR="00876D42" w:rsidRPr="00032FAF" w:rsidRDefault="005B449A" w:rsidP="00766BF9">
      <w:pPr>
        <w:pStyle w:val="Heading2No"/>
        <w:rPr>
          <w:rFonts w:cs="Arial"/>
          <w:szCs w:val="20"/>
          <w:lang w:val="en-NZ"/>
        </w:rPr>
      </w:pPr>
      <w:r w:rsidRPr="00032FAF">
        <w:rPr>
          <w:rFonts w:cs="Arial"/>
          <w:szCs w:val="20"/>
          <w:lang w:val="en-NZ"/>
        </w:rPr>
        <w:t xml:space="preserve">Entry </w:t>
      </w:r>
      <w:r w:rsidR="00107F34" w:rsidRPr="00032FAF">
        <w:rPr>
          <w:rFonts w:cs="Arial"/>
          <w:szCs w:val="20"/>
          <w:lang w:val="en-NZ"/>
        </w:rPr>
        <w:t>requirements</w:t>
      </w:r>
    </w:p>
    <w:p w14:paraId="5555547E" w14:textId="5DD600C0" w:rsidR="000F19C5" w:rsidRPr="0003653F" w:rsidRDefault="000F19C5" w:rsidP="000F19C5">
      <w:pPr>
        <w:pStyle w:val="BlockNumber"/>
        <w:ind w:left="1587" w:hanging="873"/>
        <w:rPr>
          <w:rFonts w:cs="Arial"/>
          <w:szCs w:val="20"/>
          <w:lang w:val="en-NZ"/>
        </w:rPr>
      </w:pPr>
      <w:proofErr w:type="gramStart"/>
      <w:r w:rsidRPr="0003653F">
        <w:rPr>
          <w:rFonts w:cs="Arial"/>
          <w:szCs w:val="20"/>
          <w:lang w:val="en-NZ"/>
        </w:rPr>
        <w:t>In order to</w:t>
      </w:r>
      <w:proofErr w:type="gramEnd"/>
      <w:r w:rsidRPr="0003653F">
        <w:rPr>
          <w:rFonts w:cs="Arial"/>
          <w:szCs w:val="20"/>
          <w:lang w:val="en-NZ"/>
        </w:rPr>
        <w:t xml:space="preserve"> be considered for enrolment at </w:t>
      </w:r>
      <w:r w:rsidR="00893B2F">
        <w:rPr>
          <w:rFonts w:cs="Arial"/>
          <w:szCs w:val="20"/>
          <w:lang w:val="en-NZ"/>
        </w:rPr>
        <w:t>ATNZ</w:t>
      </w:r>
      <w:r w:rsidRPr="0003653F">
        <w:rPr>
          <w:rFonts w:cs="Arial"/>
          <w:szCs w:val="20"/>
          <w:lang w:val="en-NZ"/>
        </w:rPr>
        <w:t xml:space="preserve">, a </w:t>
      </w:r>
      <w:r w:rsidR="00893B2F">
        <w:rPr>
          <w:rFonts w:cs="Arial"/>
          <w:szCs w:val="20"/>
          <w:lang w:val="en-NZ"/>
        </w:rPr>
        <w:t>learner</w:t>
      </w:r>
      <w:r w:rsidRPr="0003653F">
        <w:rPr>
          <w:rFonts w:cs="Arial"/>
          <w:szCs w:val="20"/>
          <w:lang w:val="en-NZ"/>
        </w:rPr>
        <w:t xml:space="preserve"> must be an eligible person </w:t>
      </w:r>
      <w:r w:rsidR="00880D60" w:rsidRPr="0003653F">
        <w:rPr>
          <w:rFonts w:cs="Arial"/>
          <w:szCs w:val="20"/>
          <w:lang w:val="en-NZ"/>
        </w:rPr>
        <w:t>as defined in</w:t>
      </w:r>
      <w:r w:rsidRPr="0003653F">
        <w:rPr>
          <w:rFonts w:cs="Arial"/>
          <w:szCs w:val="20"/>
          <w:lang w:val="en-NZ"/>
        </w:rPr>
        <w:t xml:space="preserve"> section 2</w:t>
      </w:r>
      <w:r w:rsidR="00877028">
        <w:rPr>
          <w:rFonts w:cs="Arial"/>
          <w:szCs w:val="20"/>
          <w:lang w:val="en-NZ"/>
        </w:rPr>
        <w:t xml:space="preserve">55 </w:t>
      </w:r>
      <w:r w:rsidRPr="0003653F">
        <w:rPr>
          <w:rFonts w:cs="Arial"/>
          <w:szCs w:val="20"/>
          <w:lang w:val="en-NZ"/>
        </w:rPr>
        <w:t>of the Education</w:t>
      </w:r>
      <w:r w:rsidR="00877028">
        <w:rPr>
          <w:rFonts w:cs="Arial"/>
          <w:szCs w:val="20"/>
          <w:lang w:val="en-NZ"/>
        </w:rPr>
        <w:t xml:space="preserve"> and Training </w:t>
      </w:r>
      <w:r w:rsidR="00BC0729">
        <w:rPr>
          <w:rFonts w:cs="Arial"/>
          <w:szCs w:val="20"/>
          <w:lang w:val="en-NZ"/>
        </w:rPr>
        <w:t xml:space="preserve">Act </w:t>
      </w:r>
      <w:r w:rsidR="00877028">
        <w:rPr>
          <w:rFonts w:cs="Arial"/>
          <w:szCs w:val="20"/>
          <w:lang w:val="en-NZ"/>
        </w:rPr>
        <w:t>2020</w:t>
      </w:r>
      <w:r w:rsidRPr="0003653F">
        <w:rPr>
          <w:rFonts w:cs="Arial"/>
          <w:szCs w:val="20"/>
          <w:lang w:val="en-NZ"/>
        </w:rPr>
        <w:t>.</w:t>
      </w:r>
    </w:p>
    <w:p w14:paraId="459747B4" w14:textId="27510161" w:rsidR="005B5965" w:rsidRDefault="000F19C5" w:rsidP="001E7937">
      <w:pPr>
        <w:pStyle w:val="BlockNumber"/>
        <w:ind w:left="1587" w:hanging="873"/>
        <w:rPr>
          <w:rFonts w:cs="Arial"/>
          <w:szCs w:val="20"/>
          <w:lang w:val="en-NZ"/>
        </w:rPr>
      </w:pPr>
      <w:r w:rsidRPr="0003653F">
        <w:rPr>
          <w:rFonts w:cs="Arial"/>
          <w:szCs w:val="20"/>
          <w:lang w:val="en-NZ"/>
        </w:rPr>
        <w:t xml:space="preserve">The detailed requirements for entry into and completion of </w:t>
      </w:r>
      <w:r w:rsidR="00893B2F">
        <w:rPr>
          <w:rFonts w:cs="Arial"/>
          <w:szCs w:val="20"/>
          <w:lang w:val="en-NZ"/>
        </w:rPr>
        <w:t>ATNZ</w:t>
      </w:r>
      <w:r w:rsidRPr="0003653F">
        <w:rPr>
          <w:rFonts w:cs="Arial"/>
          <w:szCs w:val="20"/>
          <w:lang w:val="en-NZ"/>
        </w:rPr>
        <w:t xml:space="preserve"> programmes</w:t>
      </w:r>
      <w:r w:rsidR="009E6DFD">
        <w:rPr>
          <w:rFonts w:cs="Arial"/>
          <w:szCs w:val="20"/>
          <w:lang w:val="en-NZ"/>
        </w:rPr>
        <w:t xml:space="preserve">, </w:t>
      </w:r>
      <w:proofErr w:type="spellStart"/>
      <w:r w:rsidR="009E6DFD">
        <w:rPr>
          <w:rFonts w:cs="Arial"/>
          <w:szCs w:val="20"/>
          <w:lang w:val="en-NZ"/>
        </w:rPr>
        <w:t>microcredentials</w:t>
      </w:r>
      <w:proofErr w:type="spellEnd"/>
      <w:r w:rsidR="009E6DFD">
        <w:rPr>
          <w:rFonts w:cs="Arial"/>
          <w:szCs w:val="20"/>
          <w:lang w:val="en-NZ"/>
        </w:rPr>
        <w:t xml:space="preserve"> or course</w:t>
      </w:r>
      <w:r w:rsidR="00DF6E96">
        <w:rPr>
          <w:rFonts w:cs="Arial"/>
          <w:szCs w:val="20"/>
          <w:lang w:val="en-NZ"/>
        </w:rPr>
        <w:t>s</w:t>
      </w:r>
      <w:r w:rsidRPr="0003653F">
        <w:rPr>
          <w:rFonts w:cs="Arial"/>
          <w:szCs w:val="20"/>
          <w:lang w:val="en-NZ"/>
        </w:rPr>
        <w:t xml:space="preserve"> are contained in the</w:t>
      </w:r>
      <w:r w:rsidR="00166460" w:rsidRPr="0003653F">
        <w:rPr>
          <w:rFonts w:cs="Arial"/>
          <w:szCs w:val="20"/>
          <w:lang w:val="en-NZ"/>
        </w:rPr>
        <w:t xml:space="preserve"> relevant</w:t>
      </w:r>
      <w:r w:rsidRPr="0003653F">
        <w:rPr>
          <w:rFonts w:cs="Arial"/>
          <w:szCs w:val="20"/>
          <w:lang w:val="en-NZ"/>
        </w:rPr>
        <w:t xml:space="preserve"> Programme Regulations and in information published by </w:t>
      </w:r>
      <w:r w:rsidR="00893B2F">
        <w:rPr>
          <w:rFonts w:cs="Arial"/>
          <w:szCs w:val="20"/>
          <w:lang w:val="en-NZ"/>
        </w:rPr>
        <w:t>ATNZ</w:t>
      </w:r>
      <w:r w:rsidRPr="0003653F">
        <w:rPr>
          <w:rFonts w:cs="Arial"/>
          <w:szCs w:val="20"/>
          <w:lang w:val="en-NZ"/>
        </w:rPr>
        <w:t xml:space="preserve">.  </w:t>
      </w:r>
      <w:r w:rsidR="001E7937" w:rsidRPr="0003653F">
        <w:rPr>
          <w:rFonts w:cs="Arial"/>
          <w:szCs w:val="20"/>
          <w:lang w:val="en-NZ"/>
        </w:rPr>
        <w:t xml:space="preserve">Where applicable, </w:t>
      </w:r>
      <w:r w:rsidR="00893B2F">
        <w:rPr>
          <w:rFonts w:cs="Arial"/>
          <w:szCs w:val="20"/>
          <w:lang w:val="en-NZ"/>
        </w:rPr>
        <w:t>learner</w:t>
      </w:r>
      <w:r w:rsidR="001E7937" w:rsidRPr="0003653F">
        <w:rPr>
          <w:rFonts w:cs="Arial"/>
          <w:szCs w:val="20"/>
          <w:lang w:val="en-NZ"/>
        </w:rPr>
        <w:t>s must meet the minimum entry requirements for a programme before they will be eligible to enrol and must provide appropriate evidence of meeting such requirements. </w:t>
      </w:r>
    </w:p>
    <w:p w14:paraId="57A6ADBD" w14:textId="29FF8126" w:rsidR="00064D99" w:rsidRDefault="00064D99" w:rsidP="001E7937">
      <w:pPr>
        <w:pStyle w:val="BlockNumber"/>
        <w:ind w:left="1587" w:hanging="873"/>
        <w:rPr>
          <w:rFonts w:cs="Arial"/>
          <w:szCs w:val="20"/>
          <w:lang w:val="en-NZ"/>
        </w:rPr>
      </w:pPr>
      <w:r>
        <w:rPr>
          <w:rFonts w:cs="Arial"/>
          <w:szCs w:val="20"/>
          <w:lang w:val="en-NZ"/>
        </w:rPr>
        <w:t>Applicants may be required to attend an interview to determine their eligibility for admission, entry and/or selection into their intended programme.</w:t>
      </w:r>
    </w:p>
    <w:p w14:paraId="30641456" w14:textId="4F1A8438" w:rsidR="00A04ED6" w:rsidRDefault="005B5965" w:rsidP="001E7937">
      <w:pPr>
        <w:pStyle w:val="BlockNumber"/>
        <w:ind w:left="1587" w:hanging="873"/>
        <w:rPr>
          <w:rFonts w:cs="Arial"/>
          <w:szCs w:val="20"/>
          <w:lang w:val="en-NZ"/>
        </w:rPr>
      </w:pPr>
      <w:r>
        <w:rPr>
          <w:rFonts w:cs="Arial"/>
          <w:szCs w:val="20"/>
          <w:lang w:val="en-NZ"/>
        </w:rPr>
        <w:t xml:space="preserve">In addition to </w:t>
      </w:r>
      <w:r w:rsidR="00CD1D84">
        <w:rPr>
          <w:rFonts w:cs="Arial"/>
          <w:szCs w:val="20"/>
          <w:lang w:val="en-NZ"/>
        </w:rPr>
        <w:t>3</w:t>
      </w:r>
      <w:r>
        <w:rPr>
          <w:rFonts w:cs="Arial"/>
          <w:szCs w:val="20"/>
          <w:lang w:val="en-NZ"/>
        </w:rPr>
        <w:t xml:space="preserve">.2.2, </w:t>
      </w:r>
      <w:r w:rsidR="00893B2F">
        <w:rPr>
          <w:rFonts w:cs="Arial"/>
          <w:szCs w:val="20"/>
          <w:lang w:val="en-NZ"/>
        </w:rPr>
        <w:t>ATNZ</w:t>
      </w:r>
      <w:r>
        <w:rPr>
          <w:rFonts w:cs="Arial"/>
          <w:szCs w:val="20"/>
          <w:lang w:val="en-NZ"/>
        </w:rPr>
        <w:t xml:space="preserve"> may decline an application for enrolment where the </w:t>
      </w:r>
      <w:r w:rsidR="006E5432">
        <w:rPr>
          <w:rFonts w:cs="Arial"/>
          <w:szCs w:val="20"/>
          <w:lang w:val="en-NZ"/>
        </w:rPr>
        <w:t xml:space="preserve">PTE </w:t>
      </w:r>
      <w:r w:rsidR="00877028">
        <w:rPr>
          <w:rFonts w:cs="Arial"/>
          <w:szCs w:val="20"/>
          <w:lang w:val="en-NZ"/>
        </w:rPr>
        <w:t xml:space="preserve">Manager </w:t>
      </w:r>
      <w:r w:rsidR="00064D99">
        <w:rPr>
          <w:rFonts w:cs="Arial"/>
          <w:szCs w:val="20"/>
          <w:lang w:val="en-NZ"/>
        </w:rPr>
        <w:t xml:space="preserve">or their specified delegate does not believe there to be a realistic prospect of the </w:t>
      </w:r>
      <w:r w:rsidR="00893B2F">
        <w:rPr>
          <w:rFonts w:cs="Arial"/>
          <w:szCs w:val="20"/>
          <w:lang w:val="en-NZ"/>
        </w:rPr>
        <w:t>learner</w:t>
      </w:r>
      <w:r w:rsidR="00064D99">
        <w:rPr>
          <w:rFonts w:cs="Arial"/>
          <w:szCs w:val="20"/>
          <w:lang w:val="en-NZ"/>
        </w:rPr>
        <w:t xml:space="preserve"> successfully completing the programme</w:t>
      </w:r>
      <w:r w:rsidR="00877028">
        <w:rPr>
          <w:rFonts w:cs="Arial"/>
          <w:szCs w:val="20"/>
          <w:lang w:val="en-NZ"/>
        </w:rPr>
        <w:t>.</w:t>
      </w:r>
    </w:p>
    <w:p w14:paraId="0A6CF792" w14:textId="55F719A0" w:rsidR="001E7937" w:rsidRDefault="00A04ED6" w:rsidP="00A04ED6">
      <w:pPr>
        <w:pStyle w:val="BlockNumber"/>
        <w:numPr>
          <w:ilvl w:val="0"/>
          <w:numId w:val="0"/>
        </w:numPr>
        <w:ind w:left="1587"/>
        <w:rPr>
          <w:rFonts w:cs="Arial"/>
          <w:szCs w:val="20"/>
          <w:lang w:val="en-NZ"/>
        </w:rPr>
      </w:pPr>
      <w:r>
        <w:rPr>
          <w:rFonts w:cs="Arial"/>
          <w:szCs w:val="20"/>
          <w:lang w:val="en-NZ"/>
        </w:rPr>
        <w:t xml:space="preserve">Reasons for declining an enrolment in such circumstances include but are not limited to </w:t>
      </w:r>
      <w:r w:rsidR="00893B2F">
        <w:rPr>
          <w:rFonts w:cs="Arial"/>
          <w:szCs w:val="20"/>
          <w:lang w:val="en-NZ"/>
        </w:rPr>
        <w:t>learner</w:t>
      </w:r>
      <w:r>
        <w:rPr>
          <w:rFonts w:cs="Arial"/>
          <w:szCs w:val="20"/>
          <w:lang w:val="en-NZ"/>
        </w:rPr>
        <w:t xml:space="preserve">s </w:t>
      </w:r>
      <w:r w:rsidR="007B050B">
        <w:rPr>
          <w:rFonts w:cs="Arial"/>
          <w:szCs w:val="20"/>
          <w:lang w:val="en-NZ"/>
        </w:rPr>
        <w:t xml:space="preserve">who </w:t>
      </w:r>
      <w:proofErr w:type="spellStart"/>
      <w:r w:rsidR="007B050B">
        <w:rPr>
          <w:rFonts w:cs="Arial"/>
          <w:szCs w:val="20"/>
          <w:lang w:val="en-NZ"/>
        </w:rPr>
        <w:t>can not</w:t>
      </w:r>
      <w:proofErr w:type="spellEnd"/>
      <w:r w:rsidR="007B050B">
        <w:rPr>
          <w:rFonts w:cs="Arial"/>
          <w:szCs w:val="20"/>
          <w:lang w:val="en-NZ"/>
        </w:rPr>
        <w:t xml:space="preserve"> provide sufficient evidence of being able to access a work place to </w:t>
      </w:r>
      <w:r w:rsidR="007B050B">
        <w:rPr>
          <w:rFonts w:cs="Arial"/>
          <w:szCs w:val="20"/>
          <w:lang w:val="en-NZ"/>
        </w:rPr>
        <w:lastRenderedPageBreak/>
        <w:t xml:space="preserve">undertake work based learning </w:t>
      </w:r>
      <w:r w:rsidR="00200B40">
        <w:rPr>
          <w:rFonts w:cs="Arial"/>
          <w:szCs w:val="20"/>
          <w:lang w:val="en-NZ"/>
        </w:rPr>
        <w:t xml:space="preserve">required by the programme, learners </w:t>
      </w:r>
      <w:r>
        <w:rPr>
          <w:rFonts w:cs="Arial"/>
          <w:szCs w:val="20"/>
          <w:lang w:val="en-NZ"/>
        </w:rPr>
        <w:t xml:space="preserve">with such disabilities that they would be unable to safely and successfully complete required elements of the programme or to do so without a level of additional support from </w:t>
      </w:r>
      <w:r w:rsidR="00893B2F">
        <w:rPr>
          <w:rFonts w:cs="Arial"/>
          <w:szCs w:val="20"/>
          <w:lang w:val="en-NZ"/>
        </w:rPr>
        <w:t>ATNZ</w:t>
      </w:r>
      <w:r>
        <w:rPr>
          <w:rFonts w:cs="Arial"/>
          <w:szCs w:val="20"/>
          <w:lang w:val="en-NZ"/>
        </w:rPr>
        <w:t xml:space="preserve"> that </w:t>
      </w:r>
      <w:proofErr w:type="spellStart"/>
      <w:r>
        <w:rPr>
          <w:rFonts w:cs="Arial"/>
          <w:szCs w:val="20"/>
          <w:lang w:val="en-NZ"/>
        </w:rPr>
        <w:t>can not</w:t>
      </w:r>
      <w:proofErr w:type="spellEnd"/>
      <w:r>
        <w:rPr>
          <w:rFonts w:cs="Arial"/>
          <w:szCs w:val="20"/>
          <w:lang w:val="en-NZ"/>
        </w:rPr>
        <w:t xml:space="preserve"> reasonably be provided</w:t>
      </w:r>
      <w:r w:rsidR="00E42D96">
        <w:rPr>
          <w:rFonts w:cs="Arial"/>
          <w:szCs w:val="20"/>
          <w:lang w:val="en-NZ"/>
        </w:rPr>
        <w:t xml:space="preserve"> within the facilities and resourcing available</w:t>
      </w:r>
      <w:r>
        <w:rPr>
          <w:rFonts w:cs="Arial"/>
          <w:szCs w:val="20"/>
          <w:lang w:val="en-NZ"/>
        </w:rPr>
        <w:t>.</w:t>
      </w:r>
      <w:r w:rsidR="00E42D96">
        <w:rPr>
          <w:rFonts w:cs="Arial"/>
          <w:szCs w:val="20"/>
          <w:lang w:val="en-NZ"/>
        </w:rPr>
        <w:t xml:space="preserve"> In considering such cases, </w:t>
      </w:r>
      <w:r w:rsidR="00893B2F">
        <w:rPr>
          <w:rFonts w:cs="Arial"/>
          <w:szCs w:val="20"/>
          <w:lang w:val="en-NZ"/>
        </w:rPr>
        <w:t>ATNZ</w:t>
      </w:r>
      <w:r w:rsidR="00E42D96">
        <w:rPr>
          <w:rFonts w:cs="Arial"/>
          <w:szCs w:val="20"/>
          <w:lang w:val="en-NZ"/>
        </w:rPr>
        <w:t xml:space="preserve"> will make all reasonable endeavours to enable </w:t>
      </w:r>
      <w:r w:rsidR="00893B2F">
        <w:rPr>
          <w:rFonts w:cs="Arial"/>
          <w:szCs w:val="20"/>
          <w:lang w:val="en-NZ"/>
        </w:rPr>
        <w:t>learner</w:t>
      </w:r>
      <w:r w:rsidR="00E42D96">
        <w:rPr>
          <w:rFonts w:cs="Arial"/>
          <w:szCs w:val="20"/>
          <w:lang w:val="en-NZ"/>
        </w:rPr>
        <w:t>s to be enrolled.</w:t>
      </w:r>
      <w:r>
        <w:rPr>
          <w:rFonts w:cs="Arial"/>
          <w:szCs w:val="20"/>
          <w:lang w:val="en-NZ"/>
        </w:rPr>
        <w:t xml:space="preserve">  </w:t>
      </w:r>
      <w:r w:rsidR="00064D99">
        <w:rPr>
          <w:rFonts w:cs="Arial"/>
          <w:szCs w:val="20"/>
          <w:lang w:val="en-NZ"/>
        </w:rPr>
        <w:t xml:space="preserve"> </w:t>
      </w:r>
    </w:p>
    <w:p w14:paraId="116244BA" w14:textId="3EAC65D2" w:rsidR="00064D99" w:rsidRPr="00A04ED6" w:rsidRDefault="00893B2F" w:rsidP="00B452A1">
      <w:pPr>
        <w:pStyle w:val="BlockNumber"/>
        <w:ind w:left="1587" w:hanging="873"/>
        <w:rPr>
          <w:rFonts w:cs="Arial"/>
          <w:szCs w:val="20"/>
        </w:rPr>
      </w:pPr>
      <w:r>
        <w:rPr>
          <w:rFonts w:cs="Arial"/>
          <w:szCs w:val="20"/>
          <w:lang w:val="en-NZ"/>
        </w:rPr>
        <w:t>Learner</w:t>
      </w:r>
      <w:r w:rsidR="001E7937" w:rsidRPr="0003653F">
        <w:rPr>
          <w:rFonts w:cs="Arial"/>
          <w:szCs w:val="20"/>
          <w:lang w:val="en-NZ"/>
        </w:rPr>
        <w:t xml:space="preserve">s who have attained the age of 20 years and do not hold the minimum entry requirements for a programme </w:t>
      </w:r>
      <w:r w:rsidR="00734D61" w:rsidRPr="0003653F">
        <w:rPr>
          <w:rFonts w:cs="Arial"/>
          <w:szCs w:val="20"/>
          <w:lang w:val="en-NZ"/>
        </w:rPr>
        <w:t>wi</w:t>
      </w:r>
      <w:r w:rsidR="001E7937" w:rsidRPr="0003653F">
        <w:rPr>
          <w:rFonts w:cs="Arial"/>
          <w:szCs w:val="20"/>
          <w:lang w:val="en-NZ"/>
        </w:rPr>
        <w:t>ll be eligible to be enrolled where their previous educational, work or life experience indicates they have a rea</w:t>
      </w:r>
      <w:r w:rsidR="00857E07">
        <w:rPr>
          <w:rFonts w:cs="Arial"/>
          <w:szCs w:val="20"/>
          <w:lang w:val="en-NZ"/>
        </w:rPr>
        <w:t>listic</w:t>
      </w:r>
      <w:r w:rsidR="001E7937" w:rsidRPr="0003653F">
        <w:rPr>
          <w:rFonts w:cs="Arial"/>
          <w:szCs w:val="20"/>
          <w:lang w:val="en-NZ"/>
        </w:rPr>
        <w:t xml:space="preserve"> likelihood of success</w:t>
      </w:r>
      <w:r w:rsidR="00857E07">
        <w:rPr>
          <w:rFonts w:cs="Arial"/>
          <w:szCs w:val="20"/>
          <w:lang w:val="en-NZ"/>
        </w:rPr>
        <w:t>fully completing the programme</w:t>
      </w:r>
      <w:r w:rsidR="001E7937" w:rsidRPr="0003653F">
        <w:rPr>
          <w:rFonts w:cs="Arial"/>
          <w:szCs w:val="20"/>
          <w:lang w:val="en-NZ"/>
        </w:rPr>
        <w:t xml:space="preserve">.  </w:t>
      </w:r>
      <w:r>
        <w:rPr>
          <w:rFonts w:cs="Arial"/>
          <w:szCs w:val="20"/>
          <w:lang w:val="en-NZ"/>
        </w:rPr>
        <w:t>Learner</w:t>
      </w:r>
      <w:r w:rsidR="00734D61" w:rsidRPr="0003653F">
        <w:rPr>
          <w:rFonts w:cs="Arial"/>
          <w:szCs w:val="20"/>
          <w:lang w:val="en-NZ"/>
        </w:rPr>
        <w:t xml:space="preserve">s who have not attained the age of 20 years and do not hold the required minimum entry requirements may also be eligible to </w:t>
      </w:r>
      <w:r w:rsidR="002F764A" w:rsidRPr="0003653F">
        <w:rPr>
          <w:rFonts w:cs="Arial"/>
          <w:szCs w:val="20"/>
          <w:lang w:val="en-NZ"/>
        </w:rPr>
        <w:t xml:space="preserve">be </w:t>
      </w:r>
      <w:r w:rsidR="00734D61" w:rsidRPr="0003653F">
        <w:rPr>
          <w:rFonts w:cs="Arial"/>
          <w:szCs w:val="20"/>
          <w:lang w:val="en-NZ"/>
        </w:rPr>
        <w:t>enro</w:t>
      </w:r>
      <w:r w:rsidR="002F764A" w:rsidRPr="0003653F">
        <w:rPr>
          <w:rFonts w:cs="Arial"/>
          <w:szCs w:val="20"/>
          <w:lang w:val="en-NZ"/>
        </w:rPr>
        <w:t>l</w:t>
      </w:r>
      <w:r w:rsidR="00734D61" w:rsidRPr="0003653F">
        <w:rPr>
          <w:rFonts w:cs="Arial"/>
          <w:szCs w:val="20"/>
          <w:lang w:val="en-NZ"/>
        </w:rPr>
        <w:t>l</w:t>
      </w:r>
      <w:r w:rsidR="002F764A" w:rsidRPr="0003653F">
        <w:rPr>
          <w:rFonts w:cs="Arial"/>
          <w:szCs w:val="20"/>
          <w:lang w:val="en-NZ"/>
        </w:rPr>
        <w:t>ed</w:t>
      </w:r>
      <w:r w:rsidR="00734D61" w:rsidRPr="0003653F">
        <w:rPr>
          <w:rFonts w:cs="Arial"/>
          <w:szCs w:val="20"/>
          <w:lang w:val="en-NZ"/>
        </w:rPr>
        <w:t xml:space="preserve"> in exceptional circumstances.  </w:t>
      </w:r>
      <w:r w:rsidR="001866E3" w:rsidRPr="0003653F">
        <w:rPr>
          <w:rFonts w:cs="Arial"/>
          <w:szCs w:val="20"/>
          <w:lang w:val="en-NZ"/>
        </w:rPr>
        <w:t xml:space="preserve">Such decisions will be made by the </w:t>
      </w:r>
      <w:r w:rsidR="005B5965">
        <w:rPr>
          <w:rFonts w:cs="Arial"/>
          <w:szCs w:val="20"/>
          <w:lang w:val="en-NZ"/>
        </w:rPr>
        <w:t xml:space="preserve">Academic </w:t>
      </w:r>
      <w:r w:rsidR="00877028">
        <w:rPr>
          <w:rFonts w:cs="Arial"/>
          <w:szCs w:val="20"/>
          <w:lang w:val="en-NZ"/>
        </w:rPr>
        <w:t>Manager</w:t>
      </w:r>
      <w:r w:rsidR="005B5965">
        <w:rPr>
          <w:rFonts w:cs="Arial"/>
          <w:szCs w:val="20"/>
          <w:lang w:val="en-NZ"/>
        </w:rPr>
        <w:t xml:space="preserve"> (or their specified delegate).</w:t>
      </w:r>
    </w:p>
    <w:p w14:paraId="01F35F41" w14:textId="4D42224D" w:rsidR="00A04ED6" w:rsidRDefault="00A04ED6" w:rsidP="00B452A1">
      <w:pPr>
        <w:pStyle w:val="BlockNumber"/>
        <w:ind w:left="1587" w:hanging="873"/>
        <w:rPr>
          <w:rFonts w:cs="Arial"/>
          <w:szCs w:val="20"/>
        </w:rPr>
      </w:pPr>
      <w:r>
        <w:rPr>
          <w:rFonts w:cs="Arial"/>
          <w:szCs w:val="20"/>
        </w:rPr>
        <w:t xml:space="preserve">Unless otherwise specified, the closing date for applications will be taken as </w:t>
      </w:r>
      <w:r w:rsidR="00C31A8A">
        <w:rPr>
          <w:rFonts w:cs="Arial"/>
          <w:szCs w:val="20"/>
        </w:rPr>
        <w:t xml:space="preserve">the earliest of </w:t>
      </w:r>
      <w:r>
        <w:rPr>
          <w:rFonts w:cs="Arial"/>
          <w:szCs w:val="20"/>
        </w:rPr>
        <w:t xml:space="preserve">the first day of the scheduled programme delivery or when an application for the last remaining place in the programme </w:t>
      </w:r>
      <w:r w:rsidR="00C31A8A">
        <w:rPr>
          <w:rFonts w:cs="Arial"/>
          <w:szCs w:val="20"/>
        </w:rPr>
        <w:t>is received.</w:t>
      </w:r>
    </w:p>
    <w:p w14:paraId="7D2ACB5F" w14:textId="77777777" w:rsidR="00877028" w:rsidRPr="00064D99" w:rsidRDefault="00877028" w:rsidP="00877028">
      <w:pPr>
        <w:pStyle w:val="BlockNumber"/>
        <w:numPr>
          <w:ilvl w:val="0"/>
          <w:numId w:val="0"/>
        </w:numPr>
        <w:ind w:left="1587"/>
        <w:rPr>
          <w:rFonts w:cs="Arial"/>
          <w:szCs w:val="20"/>
        </w:rPr>
      </w:pPr>
    </w:p>
    <w:p w14:paraId="7099DF42" w14:textId="77777777" w:rsidR="00876D42" w:rsidRPr="00032FAF" w:rsidRDefault="005B449A" w:rsidP="00D942F7">
      <w:pPr>
        <w:pStyle w:val="Heading2No"/>
        <w:rPr>
          <w:rFonts w:cs="Arial"/>
          <w:szCs w:val="20"/>
          <w:lang w:val="en-NZ"/>
        </w:rPr>
      </w:pPr>
      <w:r w:rsidRPr="00032FAF">
        <w:rPr>
          <w:rFonts w:cs="Arial"/>
          <w:szCs w:val="20"/>
          <w:lang w:val="en-NZ"/>
        </w:rPr>
        <w:t>Limitations on enrolment</w:t>
      </w:r>
    </w:p>
    <w:p w14:paraId="5A16CBFB" w14:textId="2C636570" w:rsidR="00736967" w:rsidRPr="0003653F" w:rsidRDefault="005B449A">
      <w:pPr>
        <w:pStyle w:val="BlockNumber"/>
        <w:ind w:left="1587" w:hanging="873"/>
        <w:rPr>
          <w:rFonts w:cs="Arial"/>
          <w:szCs w:val="20"/>
          <w:lang w:val="en-NZ"/>
        </w:rPr>
      </w:pPr>
      <w:r w:rsidRPr="0003653F">
        <w:rPr>
          <w:rFonts w:cs="Arial"/>
          <w:szCs w:val="20"/>
          <w:lang w:val="en-NZ"/>
        </w:rPr>
        <w:t xml:space="preserve">Where </w:t>
      </w:r>
      <w:r w:rsidR="00893B2F">
        <w:rPr>
          <w:rFonts w:cs="Arial"/>
          <w:szCs w:val="20"/>
          <w:lang w:val="en-NZ"/>
        </w:rPr>
        <w:t>learner</w:t>
      </w:r>
      <w:r w:rsidRPr="0003653F">
        <w:rPr>
          <w:rFonts w:cs="Arial"/>
          <w:szCs w:val="20"/>
          <w:lang w:val="en-NZ"/>
        </w:rPr>
        <w:t xml:space="preserve">s meet the requirements for entry </w:t>
      </w:r>
      <w:r w:rsidR="008C05D3" w:rsidRPr="0003653F">
        <w:rPr>
          <w:rFonts w:cs="Arial"/>
          <w:szCs w:val="20"/>
          <w:lang w:val="en-NZ"/>
        </w:rPr>
        <w:t>i</w:t>
      </w:r>
      <w:r w:rsidRPr="0003653F">
        <w:rPr>
          <w:rFonts w:cs="Arial"/>
          <w:szCs w:val="20"/>
          <w:lang w:val="en-NZ"/>
        </w:rPr>
        <w:t>nto a programme</w:t>
      </w:r>
      <w:r w:rsidR="009E6DFD">
        <w:rPr>
          <w:rFonts w:cs="Arial"/>
          <w:szCs w:val="20"/>
          <w:lang w:val="en-NZ"/>
        </w:rPr>
        <w:t xml:space="preserve">, </w:t>
      </w:r>
      <w:proofErr w:type="spellStart"/>
      <w:r w:rsidR="009E6DFD">
        <w:rPr>
          <w:rFonts w:cs="Arial"/>
          <w:szCs w:val="20"/>
          <w:lang w:val="en-NZ"/>
        </w:rPr>
        <w:t>microcredential</w:t>
      </w:r>
      <w:proofErr w:type="spellEnd"/>
      <w:r w:rsidR="00877028">
        <w:rPr>
          <w:rFonts w:cs="Arial"/>
          <w:szCs w:val="20"/>
          <w:lang w:val="en-NZ"/>
        </w:rPr>
        <w:t xml:space="preserve"> </w:t>
      </w:r>
      <w:r w:rsidR="00A75435" w:rsidRPr="0003653F">
        <w:rPr>
          <w:rFonts w:cs="Arial"/>
          <w:szCs w:val="20"/>
          <w:lang w:val="en-NZ"/>
        </w:rPr>
        <w:t>or course</w:t>
      </w:r>
      <w:r w:rsidR="00862058" w:rsidRPr="0003653F">
        <w:rPr>
          <w:rFonts w:cs="Arial"/>
          <w:szCs w:val="20"/>
          <w:lang w:val="en-NZ"/>
        </w:rPr>
        <w:t>,</w:t>
      </w:r>
      <w:r w:rsidR="00A75435" w:rsidRPr="0003653F">
        <w:rPr>
          <w:rFonts w:cs="Arial"/>
          <w:szCs w:val="20"/>
          <w:lang w:val="en-NZ"/>
        </w:rPr>
        <w:t xml:space="preserve"> </w:t>
      </w:r>
      <w:r w:rsidRPr="0003653F">
        <w:rPr>
          <w:rFonts w:cs="Arial"/>
          <w:szCs w:val="20"/>
          <w:lang w:val="en-NZ"/>
        </w:rPr>
        <w:t>they are entitled to be enrolled if places are available</w:t>
      </w:r>
      <w:r w:rsidR="00674DE4">
        <w:rPr>
          <w:rFonts w:cs="Arial"/>
          <w:szCs w:val="20"/>
          <w:lang w:val="en-NZ"/>
        </w:rPr>
        <w:t>,</w:t>
      </w:r>
      <w:r w:rsidR="00064D99">
        <w:rPr>
          <w:rFonts w:cs="Arial"/>
          <w:szCs w:val="20"/>
          <w:lang w:val="en-NZ"/>
        </w:rPr>
        <w:t xml:space="preserve"> except in cases where Regulation</w:t>
      </w:r>
      <w:r w:rsidR="00200B40">
        <w:rPr>
          <w:rFonts w:cs="Arial"/>
          <w:szCs w:val="20"/>
          <w:lang w:val="en-NZ"/>
        </w:rPr>
        <w:t xml:space="preserve">s 3.1.7 </w:t>
      </w:r>
      <w:proofErr w:type="gramStart"/>
      <w:r w:rsidR="00200B40">
        <w:rPr>
          <w:rFonts w:cs="Arial"/>
          <w:szCs w:val="20"/>
          <w:lang w:val="en-NZ"/>
        </w:rPr>
        <w:t xml:space="preserve">or </w:t>
      </w:r>
      <w:r w:rsidR="00064D99">
        <w:rPr>
          <w:rFonts w:cs="Arial"/>
          <w:szCs w:val="20"/>
          <w:lang w:val="en-NZ"/>
        </w:rPr>
        <w:t xml:space="preserve"> </w:t>
      </w:r>
      <w:r w:rsidR="00CD1D84">
        <w:rPr>
          <w:rFonts w:cs="Arial"/>
          <w:szCs w:val="20"/>
          <w:lang w:val="en-NZ"/>
        </w:rPr>
        <w:t>3</w:t>
      </w:r>
      <w:r w:rsidR="00064D99">
        <w:rPr>
          <w:rFonts w:cs="Arial"/>
          <w:szCs w:val="20"/>
          <w:lang w:val="en-NZ"/>
        </w:rPr>
        <w:t>.2.</w:t>
      </w:r>
      <w:r w:rsidR="00A04ED6">
        <w:rPr>
          <w:rFonts w:cs="Arial"/>
          <w:szCs w:val="20"/>
          <w:lang w:val="en-NZ"/>
        </w:rPr>
        <w:t>4</w:t>
      </w:r>
      <w:proofErr w:type="gramEnd"/>
      <w:r w:rsidR="00064D99">
        <w:rPr>
          <w:rFonts w:cs="Arial"/>
          <w:szCs w:val="20"/>
          <w:lang w:val="en-NZ"/>
        </w:rPr>
        <w:t xml:space="preserve"> applies</w:t>
      </w:r>
      <w:r w:rsidRPr="0003653F">
        <w:rPr>
          <w:rFonts w:cs="Arial"/>
          <w:szCs w:val="20"/>
          <w:lang w:val="en-NZ"/>
        </w:rPr>
        <w:t xml:space="preserve">. </w:t>
      </w:r>
    </w:p>
    <w:p w14:paraId="379C4768" w14:textId="7B033532" w:rsidR="00736967" w:rsidRPr="0003653F" w:rsidRDefault="00893B2F" w:rsidP="00AB19A0">
      <w:pPr>
        <w:pStyle w:val="BlockNumber"/>
        <w:spacing w:after="60"/>
        <w:ind w:left="1587" w:hanging="873"/>
        <w:rPr>
          <w:rFonts w:cs="Arial"/>
          <w:szCs w:val="20"/>
          <w:lang w:val="en-NZ"/>
        </w:rPr>
      </w:pPr>
      <w:r>
        <w:rPr>
          <w:rFonts w:cs="Arial"/>
          <w:szCs w:val="20"/>
          <w:lang w:val="en-NZ"/>
        </w:rPr>
        <w:t>ATNZ</w:t>
      </w:r>
      <w:r w:rsidR="005B449A" w:rsidRPr="0003653F">
        <w:rPr>
          <w:rFonts w:cs="Arial"/>
          <w:szCs w:val="20"/>
          <w:lang w:val="en-NZ"/>
        </w:rPr>
        <w:t xml:space="preserve"> may limit the number of enrolments </w:t>
      </w:r>
      <w:r w:rsidR="005F478E" w:rsidRPr="0003653F">
        <w:rPr>
          <w:rFonts w:cs="Arial"/>
          <w:szCs w:val="20"/>
          <w:lang w:val="en-NZ"/>
        </w:rPr>
        <w:t xml:space="preserve">in </w:t>
      </w:r>
      <w:r w:rsidR="005B449A" w:rsidRPr="0003653F">
        <w:rPr>
          <w:rFonts w:cs="Arial"/>
          <w:szCs w:val="20"/>
          <w:lang w:val="en-NZ"/>
        </w:rPr>
        <w:t>any programme</w:t>
      </w:r>
      <w:r w:rsidR="00E46087" w:rsidRPr="0003653F">
        <w:rPr>
          <w:rFonts w:cs="Arial"/>
          <w:szCs w:val="20"/>
          <w:lang w:val="en-NZ"/>
        </w:rPr>
        <w:t xml:space="preserve"> </w:t>
      </w:r>
      <w:r w:rsidR="000F19C5" w:rsidRPr="0003653F">
        <w:rPr>
          <w:rFonts w:cs="Arial"/>
          <w:szCs w:val="20"/>
          <w:lang w:val="en-NZ"/>
        </w:rPr>
        <w:t xml:space="preserve">or </w:t>
      </w:r>
      <w:r w:rsidR="00674DE4">
        <w:rPr>
          <w:rFonts w:cs="Arial"/>
          <w:szCs w:val="20"/>
          <w:lang w:val="en-NZ"/>
        </w:rPr>
        <w:t xml:space="preserve">course </w:t>
      </w:r>
      <w:r w:rsidR="005B449A" w:rsidRPr="0003653F">
        <w:rPr>
          <w:rFonts w:cs="Arial"/>
          <w:szCs w:val="20"/>
          <w:lang w:val="en-NZ"/>
        </w:rPr>
        <w:t xml:space="preserve">where this is </w:t>
      </w:r>
      <w:r w:rsidR="00A75435" w:rsidRPr="0003653F">
        <w:rPr>
          <w:rFonts w:cs="Arial"/>
          <w:szCs w:val="20"/>
          <w:lang w:val="en-NZ"/>
        </w:rPr>
        <w:t xml:space="preserve">deemed </w:t>
      </w:r>
      <w:r w:rsidR="005B449A" w:rsidRPr="0003653F">
        <w:rPr>
          <w:rFonts w:cs="Arial"/>
          <w:szCs w:val="20"/>
          <w:lang w:val="en-NZ"/>
        </w:rPr>
        <w:t xml:space="preserve">necessary.  Reasons for </w:t>
      </w:r>
      <w:r w:rsidR="006F46B2" w:rsidRPr="0003653F">
        <w:rPr>
          <w:rFonts w:cs="Arial"/>
          <w:szCs w:val="20"/>
          <w:lang w:val="en-NZ"/>
        </w:rPr>
        <w:t>limiting</w:t>
      </w:r>
      <w:r w:rsidR="005B449A" w:rsidRPr="0003653F">
        <w:rPr>
          <w:rFonts w:cs="Arial"/>
          <w:szCs w:val="20"/>
          <w:lang w:val="en-NZ"/>
        </w:rPr>
        <w:t xml:space="preserve"> the number of enrolments include, but are not </w:t>
      </w:r>
      <w:r w:rsidR="006F46B2" w:rsidRPr="0003653F">
        <w:rPr>
          <w:rFonts w:cs="Arial"/>
          <w:szCs w:val="20"/>
          <w:lang w:val="en-NZ"/>
        </w:rPr>
        <w:t>limited</w:t>
      </w:r>
      <w:r w:rsidR="005B449A" w:rsidRPr="0003653F">
        <w:rPr>
          <w:rFonts w:cs="Arial"/>
          <w:szCs w:val="20"/>
          <w:lang w:val="en-NZ"/>
        </w:rPr>
        <w:t xml:space="preserve"> to</w:t>
      </w:r>
      <w:r w:rsidR="00880D60" w:rsidRPr="0003653F">
        <w:rPr>
          <w:rFonts w:cs="Arial"/>
          <w:szCs w:val="20"/>
          <w:lang w:val="en-NZ"/>
        </w:rPr>
        <w:t>,</w:t>
      </w:r>
      <w:r w:rsidR="000F19C5" w:rsidRPr="0003653F">
        <w:rPr>
          <w:rFonts w:cs="Arial"/>
          <w:szCs w:val="20"/>
          <w:lang w:val="en-NZ"/>
        </w:rPr>
        <w:t xml:space="preserve"> the availability of</w:t>
      </w:r>
      <w:r w:rsidR="005B449A" w:rsidRPr="0003653F">
        <w:rPr>
          <w:rFonts w:cs="Arial"/>
          <w:szCs w:val="20"/>
          <w:lang w:val="en-NZ"/>
        </w:rPr>
        <w:t xml:space="preserve">: </w:t>
      </w:r>
    </w:p>
    <w:p w14:paraId="016C37DA" w14:textId="77777777" w:rsidR="00736967" w:rsidRPr="0003653F" w:rsidRDefault="005B449A" w:rsidP="00135CF0">
      <w:pPr>
        <w:pStyle w:val="Bullet1"/>
        <w:tabs>
          <w:tab w:val="clear" w:pos="1494"/>
        </w:tabs>
        <w:ind w:left="2127" w:hanging="426"/>
        <w:rPr>
          <w:rFonts w:cs="Arial"/>
          <w:lang w:val="en-NZ"/>
        </w:rPr>
      </w:pPr>
      <w:proofErr w:type="gramStart"/>
      <w:r w:rsidRPr="0003653F">
        <w:rPr>
          <w:rFonts w:cs="Arial"/>
          <w:lang w:val="en-NZ"/>
        </w:rPr>
        <w:t>Staff;</w:t>
      </w:r>
      <w:proofErr w:type="gramEnd"/>
    </w:p>
    <w:p w14:paraId="1336AA99" w14:textId="36593BE1" w:rsidR="005735D4" w:rsidRDefault="00877028" w:rsidP="00135CF0">
      <w:pPr>
        <w:pStyle w:val="Bullet1"/>
        <w:tabs>
          <w:tab w:val="clear" w:pos="1494"/>
        </w:tabs>
        <w:ind w:left="2127" w:hanging="426"/>
        <w:rPr>
          <w:rFonts w:cs="Arial"/>
          <w:lang w:val="en-NZ"/>
        </w:rPr>
      </w:pPr>
      <w:r>
        <w:rPr>
          <w:rFonts w:cs="Arial"/>
          <w:lang w:val="en-NZ"/>
        </w:rPr>
        <w:t>Facilities</w:t>
      </w:r>
      <w:r w:rsidR="00674DE4">
        <w:rPr>
          <w:rFonts w:cs="Arial"/>
          <w:lang w:val="en-NZ"/>
        </w:rPr>
        <w:t xml:space="preserve"> </w:t>
      </w:r>
      <w:r w:rsidR="00674DE4" w:rsidRPr="0003653F">
        <w:rPr>
          <w:rFonts w:cs="Arial"/>
          <w:lang w:val="en-NZ"/>
        </w:rPr>
        <w:t>(including classroom space,</w:t>
      </w:r>
      <w:r w:rsidR="005735D4">
        <w:rPr>
          <w:rFonts w:cs="Arial"/>
          <w:lang w:val="en-NZ"/>
        </w:rPr>
        <w:t xml:space="preserve"> and </w:t>
      </w:r>
      <w:r w:rsidR="005735D4" w:rsidRPr="0003653F">
        <w:rPr>
          <w:rFonts w:cs="Arial"/>
          <w:lang w:val="en-NZ"/>
        </w:rPr>
        <w:t>health and safety constraints</w:t>
      </w:r>
      <w:r w:rsidR="005735D4">
        <w:rPr>
          <w:rFonts w:cs="Arial"/>
          <w:lang w:val="en-NZ"/>
        </w:rPr>
        <w:t>)</w:t>
      </w:r>
    </w:p>
    <w:p w14:paraId="2FA75C38" w14:textId="5619DEA4" w:rsidR="00736967" w:rsidRPr="000E1421" w:rsidRDefault="005735D4" w:rsidP="00542445">
      <w:pPr>
        <w:pStyle w:val="Bullet1"/>
        <w:tabs>
          <w:tab w:val="clear" w:pos="1494"/>
        </w:tabs>
        <w:ind w:left="2127" w:hanging="426"/>
        <w:rPr>
          <w:rFonts w:cs="Arial"/>
          <w:lang w:val="en-NZ"/>
        </w:rPr>
      </w:pPr>
      <w:r w:rsidRPr="000E1421">
        <w:rPr>
          <w:rFonts w:cs="Arial"/>
          <w:lang w:val="en-NZ"/>
        </w:rPr>
        <w:t>Availability of work-based learning places or opportunities</w:t>
      </w:r>
      <w:r w:rsidR="00674DE4" w:rsidRPr="000E1421">
        <w:rPr>
          <w:rFonts w:cs="Arial"/>
          <w:lang w:val="en-NZ"/>
        </w:rPr>
        <w:t>);</w:t>
      </w:r>
      <w:r w:rsidR="000E1421" w:rsidRPr="000E1421">
        <w:rPr>
          <w:rFonts w:cs="Arial"/>
          <w:lang w:val="en-NZ"/>
        </w:rPr>
        <w:t xml:space="preserve"> or</w:t>
      </w:r>
    </w:p>
    <w:p w14:paraId="4289A8C3" w14:textId="77777777" w:rsidR="00736967" w:rsidRPr="0003653F" w:rsidRDefault="005B449A" w:rsidP="00135CF0">
      <w:pPr>
        <w:pStyle w:val="Bullet1"/>
        <w:tabs>
          <w:tab w:val="clear" w:pos="1494"/>
        </w:tabs>
        <w:ind w:left="2127" w:hanging="426"/>
        <w:rPr>
          <w:rFonts w:cs="Arial"/>
          <w:lang w:val="en-NZ"/>
        </w:rPr>
      </w:pPr>
      <w:r w:rsidRPr="0003653F">
        <w:rPr>
          <w:rFonts w:cs="Arial"/>
          <w:lang w:val="en-NZ"/>
        </w:rPr>
        <w:t>Equipment.</w:t>
      </w:r>
    </w:p>
    <w:p w14:paraId="361C0CB5" w14:textId="774A4382" w:rsidR="0005190F" w:rsidRDefault="005B449A" w:rsidP="001B682E">
      <w:pPr>
        <w:pStyle w:val="BlockNumber"/>
        <w:ind w:left="1587" w:hanging="873"/>
        <w:rPr>
          <w:rFonts w:cs="Arial"/>
          <w:szCs w:val="20"/>
          <w:lang w:val="en-NZ"/>
        </w:rPr>
      </w:pPr>
      <w:r w:rsidRPr="0003653F">
        <w:rPr>
          <w:rFonts w:cs="Arial"/>
          <w:szCs w:val="20"/>
          <w:lang w:val="en-NZ"/>
        </w:rPr>
        <w:t xml:space="preserve">Where there are insufficient places available </w:t>
      </w:r>
      <w:r w:rsidR="005F478E" w:rsidRPr="0003653F">
        <w:rPr>
          <w:rFonts w:cs="Arial"/>
          <w:szCs w:val="20"/>
          <w:lang w:val="en-NZ"/>
        </w:rPr>
        <w:t xml:space="preserve">in </w:t>
      </w:r>
      <w:r w:rsidRPr="0003653F">
        <w:rPr>
          <w:rFonts w:cs="Arial"/>
          <w:szCs w:val="20"/>
          <w:lang w:val="en-NZ"/>
        </w:rPr>
        <w:t>a programme</w:t>
      </w:r>
      <w:r w:rsidR="00B85F0F" w:rsidRPr="0003653F">
        <w:rPr>
          <w:rFonts w:cs="Arial"/>
          <w:szCs w:val="20"/>
          <w:lang w:val="en-NZ"/>
        </w:rPr>
        <w:t xml:space="preserve"> </w:t>
      </w:r>
      <w:r w:rsidRPr="0003653F">
        <w:rPr>
          <w:rFonts w:cs="Arial"/>
          <w:szCs w:val="20"/>
          <w:lang w:val="en-NZ"/>
        </w:rPr>
        <w:t xml:space="preserve">to accommodate all eligible </w:t>
      </w:r>
      <w:r w:rsidR="00893B2F">
        <w:rPr>
          <w:rFonts w:cs="Arial"/>
          <w:szCs w:val="20"/>
          <w:lang w:val="en-NZ"/>
        </w:rPr>
        <w:t>learner</w:t>
      </w:r>
      <w:r w:rsidRPr="0003653F">
        <w:rPr>
          <w:rFonts w:cs="Arial"/>
          <w:szCs w:val="20"/>
          <w:lang w:val="en-NZ"/>
        </w:rPr>
        <w:t xml:space="preserve">s, selection shall be according to </w:t>
      </w:r>
      <w:r w:rsidR="00795747" w:rsidRPr="0003653F">
        <w:rPr>
          <w:rFonts w:cs="Arial"/>
          <w:szCs w:val="20"/>
          <w:lang w:val="en-NZ"/>
        </w:rPr>
        <w:t xml:space="preserve">selection </w:t>
      </w:r>
      <w:r w:rsidRPr="0003653F">
        <w:rPr>
          <w:rFonts w:cs="Arial"/>
          <w:szCs w:val="20"/>
          <w:lang w:val="en-NZ"/>
        </w:rPr>
        <w:t xml:space="preserve">criteria set out in the Programme </w:t>
      </w:r>
      <w:r w:rsidR="00877028">
        <w:rPr>
          <w:rFonts w:cs="Arial"/>
          <w:szCs w:val="20"/>
          <w:lang w:val="en-NZ"/>
        </w:rPr>
        <w:t>Reg</w:t>
      </w:r>
      <w:r w:rsidRPr="0003653F">
        <w:rPr>
          <w:rFonts w:cs="Arial"/>
          <w:szCs w:val="20"/>
          <w:lang w:val="en-NZ"/>
        </w:rPr>
        <w:t xml:space="preserve">ulations and information published by </w:t>
      </w:r>
      <w:r w:rsidR="00893B2F">
        <w:rPr>
          <w:rFonts w:cs="Arial"/>
          <w:szCs w:val="20"/>
          <w:lang w:val="en-NZ"/>
        </w:rPr>
        <w:t>ATNZ</w:t>
      </w:r>
      <w:r w:rsidRPr="0003653F">
        <w:rPr>
          <w:rFonts w:cs="Arial"/>
          <w:szCs w:val="20"/>
          <w:lang w:val="en-NZ"/>
        </w:rPr>
        <w:t xml:space="preserve">. </w:t>
      </w:r>
      <w:r w:rsidR="00C03BFF" w:rsidRPr="0003653F">
        <w:rPr>
          <w:rFonts w:cs="Arial"/>
          <w:szCs w:val="20"/>
          <w:lang w:val="en-NZ"/>
        </w:rPr>
        <w:t xml:space="preserve"> </w:t>
      </w:r>
      <w:r w:rsidR="00D72A1B" w:rsidRPr="0003653F">
        <w:rPr>
          <w:rFonts w:cs="Arial"/>
          <w:szCs w:val="20"/>
          <w:lang w:val="en-NZ"/>
        </w:rPr>
        <w:t xml:space="preserve">Selection criteria may give preference to eligible </w:t>
      </w:r>
      <w:r w:rsidR="00893B2F">
        <w:rPr>
          <w:rFonts w:cs="Arial"/>
          <w:szCs w:val="20"/>
          <w:lang w:val="en-NZ"/>
        </w:rPr>
        <w:t>learner</w:t>
      </w:r>
      <w:r w:rsidR="00D72A1B" w:rsidRPr="0003653F">
        <w:rPr>
          <w:rFonts w:cs="Arial"/>
          <w:szCs w:val="20"/>
          <w:lang w:val="en-NZ"/>
        </w:rPr>
        <w:t xml:space="preserve">s who are from a category of persons under-represented among the </w:t>
      </w:r>
      <w:r w:rsidR="00893B2F">
        <w:rPr>
          <w:rFonts w:cs="Arial"/>
          <w:szCs w:val="20"/>
          <w:lang w:val="en-NZ"/>
        </w:rPr>
        <w:t>learner</w:t>
      </w:r>
      <w:r w:rsidR="00D72A1B" w:rsidRPr="0003653F">
        <w:rPr>
          <w:rFonts w:cs="Arial"/>
          <w:szCs w:val="20"/>
          <w:lang w:val="en-NZ"/>
        </w:rPr>
        <w:t xml:space="preserve">s undertaking the programme. </w:t>
      </w:r>
    </w:p>
    <w:p w14:paraId="6D203F09" w14:textId="67E586D5" w:rsidR="003C7716" w:rsidRPr="0003653F" w:rsidRDefault="00893B2F" w:rsidP="001B682E">
      <w:pPr>
        <w:pStyle w:val="BlockNumber"/>
        <w:ind w:left="1587" w:hanging="873"/>
        <w:rPr>
          <w:rFonts w:cs="Arial"/>
          <w:szCs w:val="20"/>
          <w:lang w:val="en-NZ"/>
        </w:rPr>
      </w:pPr>
      <w:r>
        <w:rPr>
          <w:rFonts w:cs="Arial"/>
          <w:szCs w:val="20"/>
          <w:lang w:val="en-NZ"/>
        </w:rPr>
        <w:t>Learner</w:t>
      </w:r>
      <w:r w:rsidR="003C7716">
        <w:rPr>
          <w:rFonts w:cs="Arial"/>
          <w:szCs w:val="20"/>
          <w:lang w:val="en-NZ"/>
        </w:rPr>
        <w:t xml:space="preserve">s may generally not enrol in </w:t>
      </w:r>
      <w:r w:rsidR="00723B61">
        <w:rPr>
          <w:rFonts w:cs="Arial"/>
          <w:szCs w:val="20"/>
          <w:lang w:val="en-NZ"/>
        </w:rPr>
        <w:t>courses</w:t>
      </w:r>
      <w:r w:rsidR="0078406E">
        <w:rPr>
          <w:rFonts w:cs="Arial"/>
          <w:szCs w:val="20"/>
          <w:lang w:val="en-NZ"/>
        </w:rPr>
        <w:t>/</w:t>
      </w:r>
      <w:r w:rsidR="00B2059E">
        <w:rPr>
          <w:rFonts w:cs="Arial"/>
          <w:szCs w:val="20"/>
          <w:lang w:val="en-NZ"/>
        </w:rPr>
        <w:t xml:space="preserve">NZQF </w:t>
      </w:r>
      <w:r w:rsidR="0078406E">
        <w:rPr>
          <w:rFonts w:cs="Arial"/>
          <w:szCs w:val="20"/>
          <w:lang w:val="en-NZ"/>
        </w:rPr>
        <w:t>standards</w:t>
      </w:r>
      <w:r w:rsidR="00723B61">
        <w:rPr>
          <w:rFonts w:cs="Arial"/>
          <w:szCs w:val="20"/>
          <w:lang w:val="en-NZ"/>
        </w:rPr>
        <w:t xml:space="preserve"> totall</w:t>
      </w:r>
      <w:r w:rsidR="00877028">
        <w:rPr>
          <w:rFonts w:cs="Arial"/>
          <w:szCs w:val="20"/>
          <w:lang w:val="en-NZ"/>
        </w:rPr>
        <w:t xml:space="preserve">ing </w:t>
      </w:r>
      <w:r w:rsidR="00723B61">
        <w:rPr>
          <w:rFonts w:cs="Arial"/>
          <w:szCs w:val="20"/>
          <w:lang w:val="en-NZ"/>
        </w:rPr>
        <w:t xml:space="preserve">more than </w:t>
      </w:r>
      <w:r w:rsidR="00877028">
        <w:rPr>
          <w:rFonts w:cs="Arial"/>
          <w:szCs w:val="20"/>
          <w:lang w:val="en-NZ"/>
        </w:rPr>
        <w:t>75 credits for work</w:t>
      </w:r>
      <w:r w:rsidR="0078406E">
        <w:rPr>
          <w:rFonts w:cs="Arial"/>
          <w:szCs w:val="20"/>
          <w:lang w:val="en-NZ"/>
        </w:rPr>
        <w:t>-</w:t>
      </w:r>
      <w:r w:rsidR="00877028">
        <w:rPr>
          <w:rFonts w:cs="Arial"/>
          <w:szCs w:val="20"/>
          <w:lang w:val="en-NZ"/>
        </w:rPr>
        <w:t xml:space="preserve">based learning or </w:t>
      </w:r>
      <w:r w:rsidR="00723B61">
        <w:rPr>
          <w:rFonts w:cs="Arial"/>
          <w:szCs w:val="20"/>
          <w:lang w:val="en-NZ"/>
        </w:rPr>
        <w:t xml:space="preserve">120 credits </w:t>
      </w:r>
      <w:r w:rsidR="00877028">
        <w:rPr>
          <w:rFonts w:cs="Arial"/>
          <w:szCs w:val="20"/>
          <w:lang w:val="en-NZ"/>
        </w:rPr>
        <w:t xml:space="preserve">for other modes of learning </w:t>
      </w:r>
      <w:r w:rsidR="00723B61">
        <w:rPr>
          <w:rFonts w:cs="Arial"/>
          <w:szCs w:val="20"/>
          <w:lang w:val="en-NZ"/>
        </w:rPr>
        <w:t xml:space="preserve">in any one year. Any such enrolments must be approved by the Academic </w:t>
      </w:r>
      <w:r w:rsidR="00877028">
        <w:rPr>
          <w:rFonts w:cs="Arial"/>
          <w:szCs w:val="20"/>
          <w:lang w:val="en-NZ"/>
        </w:rPr>
        <w:t>Manager</w:t>
      </w:r>
      <w:r w:rsidR="00723B61">
        <w:rPr>
          <w:rFonts w:cs="Arial"/>
          <w:szCs w:val="20"/>
          <w:lang w:val="en-NZ"/>
        </w:rPr>
        <w:t>.</w:t>
      </w:r>
    </w:p>
    <w:p w14:paraId="091F40D2" w14:textId="4342ABDB" w:rsidR="00876D42" w:rsidRPr="00086021" w:rsidRDefault="00D72A1B" w:rsidP="00D942F7">
      <w:pPr>
        <w:pStyle w:val="Heading2No"/>
        <w:rPr>
          <w:rFonts w:cs="Arial"/>
          <w:szCs w:val="20"/>
          <w:lang w:val="en-NZ"/>
        </w:rPr>
      </w:pPr>
      <w:r w:rsidRPr="00086021">
        <w:rPr>
          <w:rFonts w:cs="Arial"/>
          <w:szCs w:val="20"/>
          <w:lang w:val="en-NZ"/>
        </w:rPr>
        <w:t>Alternative programmes</w:t>
      </w:r>
      <w:r w:rsidR="002A2996" w:rsidRPr="00086021">
        <w:rPr>
          <w:rFonts w:cs="Arial"/>
          <w:szCs w:val="20"/>
          <w:lang w:val="en-NZ"/>
        </w:rPr>
        <w:t xml:space="preserve"> o</w:t>
      </w:r>
      <w:r w:rsidR="00E5068A" w:rsidRPr="00086021">
        <w:rPr>
          <w:rFonts w:cs="Arial"/>
          <w:szCs w:val="20"/>
          <w:lang w:val="en-NZ"/>
        </w:rPr>
        <w:t xml:space="preserve">r </w:t>
      </w:r>
      <w:r w:rsidRPr="00086021">
        <w:rPr>
          <w:rFonts w:cs="Arial"/>
          <w:szCs w:val="20"/>
          <w:lang w:val="en-NZ"/>
        </w:rPr>
        <w:t>courses</w:t>
      </w:r>
    </w:p>
    <w:p w14:paraId="0F067835" w14:textId="2C68E8DD" w:rsidR="00736967" w:rsidRPr="00086021" w:rsidDel="00CA080B" w:rsidRDefault="00D72A1B">
      <w:pPr>
        <w:pStyle w:val="BlockNumber"/>
        <w:ind w:left="1587" w:hanging="873"/>
        <w:rPr>
          <w:rFonts w:cs="Arial"/>
          <w:szCs w:val="20"/>
          <w:lang w:val="en-NZ"/>
        </w:rPr>
      </w:pPr>
      <w:r w:rsidRPr="00086021">
        <w:rPr>
          <w:rFonts w:cs="Arial"/>
          <w:szCs w:val="20"/>
          <w:lang w:val="en-NZ"/>
        </w:rPr>
        <w:t xml:space="preserve">Where </w:t>
      </w:r>
      <w:r w:rsidR="00893B2F" w:rsidRPr="00086021">
        <w:rPr>
          <w:rFonts w:cs="Arial"/>
          <w:szCs w:val="20"/>
          <w:lang w:val="en-NZ"/>
        </w:rPr>
        <w:t>learner</w:t>
      </w:r>
      <w:r w:rsidRPr="00086021">
        <w:rPr>
          <w:rFonts w:cs="Arial"/>
          <w:szCs w:val="20"/>
          <w:lang w:val="en-NZ"/>
        </w:rPr>
        <w:t>s apply for a programme</w:t>
      </w:r>
      <w:r w:rsidR="00877028" w:rsidRPr="00086021">
        <w:rPr>
          <w:rFonts w:cs="Arial"/>
          <w:szCs w:val="20"/>
          <w:lang w:val="en-NZ"/>
        </w:rPr>
        <w:t xml:space="preserve"> </w:t>
      </w:r>
      <w:r w:rsidR="00E5068A" w:rsidRPr="00086021">
        <w:rPr>
          <w:rFonts w:cs="Arial"/>
          <w:szCs w:val="20"/>
          <w:lang w:val="en-NZ"/>
        </w:rPr>
        <w:t xml:space="preserve">or course </w:t>
      </w:r>
      <w:r w:rsidRPr="00086021">
        <w:rPr>
          <w:rFonts w:cs="Arial"/>
          <w:szCs w:val="20"/>
          <w:lang w:val="en-NZ"/>
        </w:rPr>
        <w:t>that is not available</w:t>
      </w:r>
      <w:r w:rsidR="00862058" w:rsidRPr="00086021">
        <w:rPr>
          <w:rFonts w:cs="Arial"/>
          <w:szCs w:val="20"/>
          <w:lang w:val="en-NZ"/>
        </w:rPr>
        <w:t xml:space="preserve"> or </w:t>
      </w:r>
      <w:r w:rsidR="00880D60" w:rsidRPr="00086021">
        <w:rPr>
          <w:rFonts w:cs="Arial"/>
          <w:szCs w:val="20"/>
          <w:lang w:val="en-NZ"/>
        </w:rPr>
        <w:t xml:space="preserve">is </w:t>
      </w:r>
      <w:r w:rsidR="00862058" w:rsidRPr="00086021">
        <w:rPr>
          <w:rFonts w:cs="Arial"/>
          <w:szCs w:val="20"/>
          <w:lang w:val="en-NZ"/>
        </w:rPr>
        <w:t>full</w:t>
      </w:r>
      <w:r w:rsidRPr="00086021">
        <w:rPr>
          <w:rFonts w:cs="Arial"/>
          <w:szCs w:val="20"/>
          <w:lang w:val="en-NZ"/>
        </w:rPr>
        <w:t xml:space="preserve">, </w:t>
      </w:r>
      <w:r w:rsidR="00893B2F" w:rsidRPr="00086021">
        <w:rPr>
          <w:rFonts w:cs="Arial"/>
          <w:szCs w:val="20"/>
          <w:lang w:val="en-NZ"/>
        </w:rPr>
        <w:t>ATNZ</w:t>
      </w:r>
      <w:r w:rsidRPr="00086021">
        <w:rPr>
          <w:rFonts w:cs="Arial"/>
          <w:szCs w:val="20"/>
          <w:lang w:val="en-NZ"/>
        </w:rPr>
        <w:t xml:space="preserve"> </w:t>
      </w:r>
      <w:r w:rsidR="0099742D" w:rsidRPr="00086021">
        <w:rPr>
          <w:rFonts w:cs="Arial"/>
          <w:szCs w:val="20"/>
          <w:lang w:val="en-NZ"/>
        </w:rPr>
        <w:t>may</w:t>
      </w:r>
      <w:r w:rsidRPr="00086021">
        <w:rPr>
          <w:rFonts w:cs="Arial"/>
          <w:szCs w:val="20"/>
          <w:lang w:val="en-NZ"/>
        </w:rPr>
        <w:t xml:space="preserve"> offer them entry </w:t>
      </w:r>
      <w:r w:rsidR="00E91D51" w:rsidRPr="00086021">
        <w:rPr>
          <w:rFonts w:cs="Arial"/>
          <w:szCs w:val="20"/>
          <w:lang w:val="en-NZ"/>
        </w:rPr>
        <w:t>in</w:t>
      </w:r>
      <w:r w:rsidR="00880D60" w:rsidRPr="00086021">
        <w:rPr>
          <w:rFonts w:cs="Arial"/>
          <w:szCs w:val="20"/>
          <w:lang w:val="en-NZ"/>
        </w:rPr>
        <w:t>to</w:t>
      </w:r>
      <w:r w:rsidR="00E91D51" w:rsidRPr="00086021">
        <w:rPr>
          <w:rFonts w:cs="Arial"/>
          <w:szCs w:val="20"/>
          <w:lang w:val="en-NZ"/>
        </w:rPr>
        <w:t xml:space="preserve"> </w:t>
      </w:r>
      <w:r w:rsidRPr="00086021">
        <w:rPr>
          <w:rFonts w:cs="Arial"/>
          <w:szCs w:val="20"/>
          <w:lang w:val="en-NZ"/>
        </w:rPr>
        <w:t>an alternative programme</w:t>
      </w:r>
      <w:r w:rsidR="00877028" w:rsidRPr="00086021">
        <w:rPr>
          <w:rFonts w:cs="Arial"/>
          <w:szCs w:val="20"/>
          <w:lang w:val="en-NZ"/>
        </w:rPr>
        <w:t xml:space="preserve"> </w:t>
      </w:r>
      <w:r w:rsidR="00E5068A" w:rsidRPr="00086021">
        <w:rPr>
          <w:rFonts w:cs="Arial"/>
          <w:szCs w:val="20"/>
          <w:lang w:val="en-NZ"/>
        </w:rPr>
        <w:t>or course</w:t>
      </w:r>
      <w:r w:rsidRPr="00086021">
        <w:rPr>
          <w:rFonts w:cs="Arial"/>
          <w:szCs w:val="20"/>
          <w:lang w:val="en-NZ"/>
        </w:rPr>
        <w:t xml:space="preserve">. </w:t>
      </w:r>
    </w:p>
    <w:p w14:paraId="063E3A69" w14:textId="46BC8BF2" w:rsidR="00736967" w:rsidRPr="00086021" w:rsidRDefault="00893B2F">
      <w:pPr>
        <w:pStyle w:val="BlockNumber"/>
        <w:ind w:left="1587" w:hanging="873"/>
        <w:rPr>
          <w:rFonts w:cs="Arial"/>
          <w:szCs w:val="20"/>
          <w:lang w:val="en-NZ"/>
        </w:rPr>
      </w:pPr>
      <w:r w:rsidRPr="00086021">
        <w:rPr>
          <w:rFonts w:cs="Arial"/>
          <w:szCs w:val="20"/>
          <w:lang w:val="en-NZ"/>
        </w:rPr>
        <w:t>Learner</w:t>
      </w:r>
      <w:r w:rsidR="00D72A1B" w:rsidRPr="00086021">
        <w:rPr>
          <w:rFonts w:cs="Arial"/>
          <w:szCs w:val="20"/>
          <w:lang w:val="en-NZ"/>
        </w:rPr>
        <w:t xml:space="preserve">s </w:t>
      </w:r>
      <w:r w:rsidR="004813F9" w:rsidRPr="00086021">
        <w:rPr>
          <w:rFonts w:cs="Arial"/>
          <w:szCs w:val="20"/>
          <w:lang w:val="en-NZ"/>
        </w:rPr>
        <w:t>shall</w:t>
      </w:r>
      <w:r w:rsidR="00D72A1B" w:rsidRPr="00086021">
        <w:rPr>
          <w:rFonts w:cs="Arial"/>
          <w:szCs w:val="20"/>
          <w:lang w:val="en-NZ"/>
        </w:rPr>
        <w:t xml:space="preserve"> be notified at the time of enrolment if the programme</w:t>
      </w:r>
      <w:r w:rsidR="00877028" w:rsidRPr="00086021">
        <w:rPr>
          <w:rFonts w:cs="Arial"/>
          <w:szCs w:val="20"/>
          <w:lang w:val="en-NZ"/>
        </w:rPr>
        <w:t xml:space="preserve"> </w:t>
      </w:r>
      <w:r w:rsidR="00E5068A" w:rsidRPr="00086021">
        <w:rPr>
          <w:rFonts w:cs="Arial"/>
          <w:szCs w:val="20"/>
          <w:lang w:val="en-NZ"/>
        </w:rPr>
        <w:t>or</w:t>
      </w:r>
      <w:r w:rsidR="009920D5" w:rsidRPr="00086021">
        <w:rPr>
          <w:rFonts w:cs="Arial"/>
          <w:szCs w:val="20"/>
          <w:lang w:val="en-NZ"/>
        </w:rPr>
        <w:t xml:space="preserve"> </w:t>
      </w:r>
      <w:r w:rsidR="00D72A1B" w:rsidRPr="00086021">
        <w:rPr>
          <w:rFonts w:cs="Arial"/>
          <w:szCs w:val="20"/>
          <w:lang w:val="en-NZ"/>
        </w:rPr>
        <w:t>course</w:t>
      </w:r>
      <w:r w:rsidR="00C74400" w:rsidRPr="00086021">
        <w:rPr>
          <w:rFonts w:cs="Arial"/>
          <w:szCs w:val="20"/>
          <w:lang w:val="en-NZ"/>
        </w:rPr>
        <w:t xml:space="preserve"> </w:t>
      </w:r>
      <w:r w:rsidR="00B83B21" w:rsidRPr="00086021">
        <w:rPr>
          <w:rFonts w:cs="Arial"/>
          <w:szCs w:val="20"/>
          <w:lang w:val="en-NZ"/>
        </w:rPr>
        <w:t>i</w:t>
      </w:r>
      <w:r w:rsidR="00D72A1B" w:rsidRPr="00086021">
        <w:rPr>
          <w:rFonts w:cs="Arial"/>
          <w:szCs w:val="20"/>
          <w:lang w:val="en-NZ"/>
        </w:rPr>
        <w:t xml:space="preserve">n which they wish to enrol is full.  They will be advised whether they will be placed onto a waiting list </w:t>
      </w:r>
      <w:r w:rsidR="00511E3E" w:rsidRPr="00086021">
        <w:rPr>
          <w:rFonts w:cs="Arial"/>
          <w:szCs w:val="20"/>
          <w:lang w:val="en-NZ"/>
        </w:rPr>
        <w:t>and/</w:t>
      </w:r>
      <w:r w:rsidR="00D72A1B" w:rsidRPr="00086021">
        <w:rPr>
          <w:rFonts w:cs="Arial"/>
          <w:szCs w:val="20"/>
          <w:lang w:val="en-NZ"/>
        </w:rPr>
        <w:t xml:space="preserve">or </w:t>
      </w:r>
      <w:r w:rsidR="00C32B72" w:rsidRPr="00086021">
        <w:rPr>
          <w:rFonts w:cs="Arial"/>
          <w:szCs w:val="20"/>
          <w:lang w:val="en-NZ"/>
        </w:rPr>
        <w:t>offered the opportunity to</w:t>
      </w:r>
      <w:r w:rsidR="00D72A1B" w:rsidRPr="00086021">
        <w:rPr>
          <w:rFonts w:cs="Arial"/>
          <w:szCs w:val="20"/>
          <w:lang w:val="en-NZ"/>
        </w:rPr>
        <w:t xml:space="preserve"> select an alternative programme</w:t>
      </w:r>
      <w:r w:rsidR="00877028" w:rsidRPr="00086021">
        <w:rPr>
          <w:rFonts w:cs="Arial"/>
          <w:szCs w:val="20"/>
          <w:lang w:val="en-NZ"/>
        </w:rPr>
        <w:t xml:space="preserve"> </w:t>
      </w:r>
      <w:r w:rsidR="00E5068A" w:rsidRPr="00086021">
        <w:rPr>
          <w:rFonts w:cs="Arial"/>
          <w:szCs w:val="20"/>
          <w:lang w:val="en-NZ"/>
        </w:rPr>
        <w:t>or</w:t>
      </w:r>
      <w:r w:rsidR="009920D5" w:rsidRPr="00086021">
        <w:rPr>
          <w:rFonts w:cs="Arial"/>
          <w:szCs w:val="20"/>
          <w:lang w:val="en-NZ"/>
        </w:rPr>
        <w:t xml:space="preserve"> </w:t>
      </w:r>
      <w:r w:rsidR="00D72A1B" w:rsidRPr="00086021">
        <w:rPr>
          <w:rFonts w:cs="Arial"/>
          <w:szCs w:val="20"/>
          <w:lang w:val="en-NZ"/>
        </w:rPr>
        <w:t>course</w:t>
      </w:r>
      <w:r w:rsidR="00E5068A" w:rsidRPr="00086021">
        <w:rPr>
          <w:rFonts w:cs="Arial"/>
          <w:szCs w:val="20"/>
          <w:lang w:val="en-NZ"/>
        </w:rPr>
        <w:t>.</w:t>
      </w:r>
    </w:p>
    <w:p w14:paraId="1C53879E" w14:textId="77777777" w:rsidR="00876D42" w:rsidRPr="00032FAF" w:rsidRDefault="00D72A1B" w:rsidP="00D942F7">
      <w:pPr>
        <w:pStyle w:val="Heading2No"/>
        <w:rPr>
          <w:rFonts w:cs="Arial"/>
          <w:szCs w:val="20"/>
          <w:lang w:val="en-NZ"/>
        </w:rPr>
      </w:pPr>
      <w:r w:rsidRPr="00032FAF">
        <w:rPr>
          <w:rFonts w:cs="Arial"/>
          <w:szCs w:val="20"/>
          <w:lang w:val="en-NZ"/>
        </w:rPr>
        <w:t>Confirmation of acceptance</w:t>
      </w:r>
      <w:r w:rsidR="00E46781" w:rsidRPr="00032FAF">
        <w:rPr>
          <w:rFonts w:cs="Arial"/>
          <w:szCs w:val="20"/>
          <w:lang w:val="en-NZ"/>
        </w:rPr>
        <w:t xml:space="preserve"> or decline</w:t>
      </w:r>
      <w:r w:rsidR="00F77C5E" w:rsidRPr="00032FAF">
        <w:rPr>
          <w:rFonts w:cs="Arial"/>
          <w:szCs w:val="20"/>
          <w:lang w:val="en-NZ"/>
        </w:rPr>
        <w:t>d</w:t>
      </w:r>
      <w:r w:rsidRPr="00032FAF">
        <w:rPr>
          <w:rFonts w:cs="Arial"/>
          <w:szCs w:val="20"/>
          <w:lang w:val="en-NZ"/>
        </w:rPr>
        <w:t xml:space="preserve"> of </w:t>
      </w:r>
      <w:proofErr w:type="gramStart"/>
      <w:r w:rsidRPr="00032FAF">
        <w:rPr>
          <w:rFonts w:cs="Arial"/>
          <w:szCs w:val="20"/>
          <w:lang w:val="en-NZ"/>
        </w:rPr>
        <w:t>entry</w:t>
      </w:r>
      <w:proofErr w:type="gramEnd"/>
    </w:p>
    <w:p w14:paraId="4B867816" w14:textId="23E7F06E" w:rsidR="00736967" w:rsidRPr="0003653F" w:rsidRDefault="006D7DAF">
      <w:pPr>
        <w:pStyle w:val="BlockNumber"/>
        <w:ind w:left="1587" w:hanging="873"/>
        <w:rPr>
          <w:rFonts w:cs="Arial"/>
          <w:szCs w:val="20"/>
          <w:lang w:val="en-NZ"/>
        </w:rPr>
      </w:pPr>
      <w:r>
        <w:rPr>
          <w:rFonts w:cs="Arial"/>
          <w:szCs w:val="20"/>
          <w:lang w:val="en-NZ"/>
        </w:rPr>
        <w:lastRenderedPageBreak/>
        <w:t xml:space="preserve">Confirmation of acceptance </w:t>
      </w:r>
      <w:r w:rsidR="00611E0F">
        <w:rPr>
          <w:rFonts w:cs="Arial"/>
          <w:szCs w:val="20"/>
          <w:lang w:val="en-NZ"/>
        </w:rPr>
        <w:t xml:space="preserve">may be provided through </w:t>
      </w:r>
      <w:r w:rsidR="00AE3687">
        <w:rPr>
          <w:rFonts w:cs="Arial"/>
          <w:szCs w:val="20"/>
          <w:lang w:val="en-NZ"/>
        </w:rPr>
        <w:t>ATNZ’s completion o</w:t>
      </w:r>
      <w:r w:rsidR="00D3073F">
        <w:rPr>
          <w:rFonts w:cs="Arial"/>
          <w:szCs w:val="20"/>
          <w:lang w:val="en-NZ"/>
        </w:rPr>
        <w:t xml:space="preserve">f </w:t>
      </w:r>
      <w:r w:rsidR="00AE3687">
        <w:rPr>
          <w:rFonts w:cs="Arial"/>
          <w:szCs w:val="20"/>
          <w:lang w:val="en-NZ"/>
        </w:rPr>
        <w:t>the enrolment</w:t>
      </w:r>
      <w:r w:rsidR="00D3073F">
        <w:rPr>
          <w:rFonts w:cs="Arial"/>
          <w:szCs w:val="20"/>
          <w:lang w:val="en-NZ"/>
        </w:rPr>
        <w:t xml:space="preserve"> or Training Agreement</w:t>
      </w:r>
      <w:r w:rsidR="00471E69">
        <w:rPr>
          <w:rFonts w:cs="Arial"/>
          <w:szCs w:val="20"/>
          <w:lang w:val="en-NZ"/>
        </w:rPr>
        <w:t xml:space="preserve">. Alternatively, </w:t>
      </w:r>
      <w:r w:rsidR="00893B2F">
        <w:rPr>
          <w:rFonts w:cs="Arial"/>
          <w:szCs w:val="20"/>
          <w:lang w:val="en-NZ"/>
        </w:rPr>
        <w:t>Learner</w:t>
      </w:r>
      <w:r w:rsidR="00D72A1B" w:rsidRPr="0003653F">
        <w:rPr>
          <w:rFonts w:cs="Arial"/>
          <w:szCs w:val="20"/>
          <w:lang w:val="en-NZ"/>
        </w:rPr>
        <w:t xml:space="preserve">s </w:t>
      </w:r>
      <w:r w:rsidR="00471E69">
        <w:rPr>
          <w:rFonts w:cs="Arial"/>
          <w:szCs w:val="20"/>
          <w:lang w:val="en-NZ"/>
        </w:rPr>
        <w:t xml:space="preserve">may </w:t>
      </w:r>
      <w:r w:rsidR="00D72A1B" w:rsidRPr="0003653F">
        <w:rPr>
          <w:rFonts w:cs="Arial"/>
          <w:szCs w:val="20"/>
          <w:lang w:val="en-NZ"/>
        </w:rPr>
        <w:t xml:space="preserve">be informed in writing </w:t>
      </w:r>
      <w:r w:rsidR="00880D60" w:rsidRPr="0003653F">
        <w:rPr>
          <w:rFonts w:cs="Arial"/>
          <w:szCs w:val="20"/>
          <w:lang w:val="en-NZ"/>
        </w:rPr>
        <w:t xml:space="preserve">whether </w:t>
      </w:r>
      <w:r w:rsidR="00D72A1B" w:rsidRPr="0003653F">
        <w:rPr>
          <w:rFonts w:cs="Arial"/>
          <w:szCs w:val="20"/>
          <w:lang w:val="en-NZ"/>
        </w:rPr>
        <w:t>their application for</w:t>
      </w:r>
      <w:r w:rsidR="00880D60" w:rsidRPr="0003653F">
        <w:rPr>
          <w:rFonts w:cs="Arial"/>
          <w:szCs w:val="20"/>
          <w:lang w:val="en-NZ"/>
        </w:rPr>
        <w:t xml:space="preserve"> entry into</w:t>
      </w:r>
      <w:r w:rsidR="00D72A1B" w:rsidRPr="0003653F">
        <w:rPr>
          <w:rFonts w:cs="Arial"/>
          <w:szCs w:val="20"/>
          <w:lang w:val="en-NZ"/>
        </w:rPr>
        <w:t xml:space="preserve"> a programme </w:t>
      </w:r>
      <w:r w:rsidR="006B1721">
        <w:rPr>
          <w:rFonts w:cs="Arial"/>
          <w:szCs w:val="20"/>
          <w:lang w:val="en-NZ"/>
        </w:rPr>
        <w:t xml:space="preserve">or </w:t>
      </w:r>
      <w:proofErr w:type="spellStart"/>
      <w:r w:rsidR="006B1721">
        <w:rPr>
          <w:rFonts w:cs="Arial"/>
          <w:szCs w:val="20"/>
          <w:lang w:val="en-NZ"/>
        </w:rPr>
        <w:t>microcredential</w:t>
      </w:r>
      <w:proofErr w:type="spellEnd"/>
      <w:r w:rsidR="006B1721">
        <w:rPr>
          <w:rFonts w:cs="Arial"/>
          <w:szCs w:val="20"/>
          <w:lang w:val="en-NZ"/>
        </w:rPr>
        <w:t xml:space="preserve"> </w:t>
      </w:r>
      <w:r w:rsidR="00D72A1B" w:rsidRPr="0003653F">
        <w:rPr>
          <w:rFonts w:cs="Arial"/>
          <w:szCs w:val="20"/>
          <w:lang w:val="en-NZ"/>
        </w:rPr>
        <w:t>has been accepted or declined</w:t>
      </w:r>
      <w:r w:rsidR="00471E69">
        <w:rPr>
          <w:rFonts w:cs="Arial"/>
          <w:szCs w:val="20"/>
          <w:lang w:val="en-NZ"/>
        </w:rPr>
        <w:t xml:space="preserve"> </w:t>
      </w:r>
      <w:r w:rsidR="00D72A1B" w:rsidRPr="0003653F">
        <w:rPr>
          <w:rFonts w:cs="Arial"/>
          <w:szCs w:val="20"/>
          <w:lang w:val="en-NZ"/>
        </w:rPr>
        <w:t>before the programme</w:t>
      </w:r>
      <w:r w:rsidR="00C74400" w:rsidRPr="0003653F">
        <w:rPr>
          <w:rFonts w:cs="Arial"/>
          <w:szCs w:val="20"/>
          <w:lang w:val="en-NZ"/>
        </w:rPr>
        <w:t xml:space="preserve"> </w:t>
      </w:r>
      <w:r w:rsidR="00D72A1B" w:rsidRPr="0003653F">
        <w:rPr>
          <w:rFonts w:cs="Arial"/>
          <w:szCs w:val="20"/>
          <w:lang w:val="en-NZ"/>
        </w:rPr>
        <w:t>starts</w:t>
      </w:r>
      <w:r w:rsidR="00D07EB2" w:rsidRPr="0003653F">
        <w:rPr>
          <w:rFonts w:cs="Arial"/>
          <w:szCs w:val="20"/>
          <w:lang w:val="en-NZ"/>
        </w:rPr>
        <w:t>.</w:t>
      </w:r>
    </w:p>
    <w:p w14:paraId="00B9CCF9" w14:textId="77777777" w:rsidR="00876D42" w:rsidRPr="00032FAF" w:rsidRDefault="00D72A1B" w:rsidP="00D942F7">
      <w:pPr>
        <w:pStyle w:val="Heading2No"/>
        <w:rPr>
          <w:rFonts w:cs="Arial"/>
          <w:szCs w:val="20"/>
          <w:lang w:val="en-NZ"/>
        </w:rPr>
      </w:pPr>
      <w:r w:rsidRPr="00032FAF">
        <w:rPr>
          <w:rFonts w:cs="Arial"/>
          <w:szCs w:val="20"/>
          <w:lang w:val="en-NZ"/>
        </w:rPr>
        <w:t>Late enrolment</w:t>
      </w:r>
    </w:p>
    <w:p w14:paraId="72F90BED" w14:textId="69A56D9F" w:rsidR="00736967" w:rsidRPr="0003653F" w:rsidRDefault="00893B2F">
      <w:pPr>
        <w:pStyle w:val="BlockNumber"/>
        <w:ind w:left="1587" w:hanging="873"/>
        <w:rPr>
          <w:rFonts w:cs="Arial"/>
          <w:szCs w:val="20"/>
          <w:lang w:val="en-NZ"/>
        </w:rPr>
      </w:pPr>
      <w:r>
        <w:rPr>
          <w:rFonts w:cs="Arial"/>
          <w:szCs w:val="20"/>
          <w:lang w:val="en-NZ"/>
        </w:rPr>
        <w:t>Learner</w:t>
      </w:r>
      <w:r w:rsidR="00D72A1B" w:rsidRPr="0003653F">
        <w:rPr>
          <w:rFonts w:cs="Arial"/>
          <w:szCs w:val="20"/>
          <w:lang w:val="en-NZ"/>
        </w:rPr>
        <w:t xml:space="preserve">s may be accepted for late enrolment up to two weeks after the commencement date of a </w:t>
      </w:r>
      <w:r w:rsidR="00B85F0F" w:rsidRPr="0003653F">
        <w:rPr>
          <w:rFonts w:cs="Arial"/>
          <w:szCs w:val="20"/>
          <w:lang w:val="en-NZ"/>
        </w:rPr>
        <w:t>programme</w:t>
      </w:r>
      <w:r w:rsidR="00877028">
        <w:rPr>
          <w:rFonts w:cs="Arial"/>
          <w:szCs w:val="20"/>
          <w:lang w:val="en-NZ"/>
        </w:rPr>
        <w:t xml:space="preserve"> </w:t>
      </w:r>
      <w:r w:rsidR="00001C0B" w:rsidRPr="0003653F">
        <w:rPr>
          <w:rFonts w:cs="Arial"/>
          <w:szCs w:val="20"/>
          <w:lang w:val="en-NZ"/>
        </w:rPr>
        <w:t xml:space="preserve">by the </w:t>
      </w:r>
      <w:r w:rsidR="00877028">
        <w:rPr>
          <w:rFonts w:cs="Arial"/>
          <w:szCs w:val="20"/>
          <w:lang w:val="en-NZ"/>
        </w:rPr>
        <w:t xml:space="preserve">Academic Manager </w:t>
      </w:r>
      <w:r w:rsidR="00001C0B" w:rsidRPr="0003653F">
        <w:rPr>
          <w:rFonts w:cs="Arial"/>
          <w:szCs w:val="20"/>
          <w:lang w:val="en-NZ"/>
        </w:rPr>
        <w:t>(or their delegate)</w:t>
      </w:r>
      <w:r w:rsidR="00D72A1B" w:rsidRPr="0003653F">
        <w:rPr>
          <w:rFonts w:cs="Arial"/>
          <w:szCs w:val="20"/>
          <w:lang w:val="en-NZ"/>
        </w:rPr>
        <w:t xml:space="preserve">. </w:t>
      </w:r>
    </w:p>
    <w:p w14:paraId="574B6807" w14:textId="77777777" w:rsidR="00876D42" w:rsidRPr="00086021" w:rsidRDefault="00D72A1B" w:rsidP="00D942F7">
      <w:pPr>
        <w:pStyle w:val="Heading2No"/>
        <w:rPr>
          <w:rFonts w:cs="Arial"/>
          <w:szCs w:val="20"/>
          <w:lang w:val="en-NZ"/>
        </w:rPr>
      </w:pPr>
      <w:r w:rsidRPr="00086021">
        <w:rPr>
          <w:rFonts w:cs="Arial"/>
          <w:szCs w:val="20"/>
          <w:lang w:val="en-NZ"/>
        </w:rPr>
        <w:t>Name change</w:t>
      </w:r>
    </w:p>
    <w:p w14:paraId="02E2AD56" w14:textId="3D09C147" w:rsidR="00675D57" w:rsidRPr="00086021" w:rsidRDefault="00893B2F" w:rsidP="006E4D9D">
      <w:pPr>
        <w:pStyle w:val="BlockNumber"/>
        <w:spacing w:after="60"/>
        <w:ind w:left="1598" w:hanging="878"/>
        <w:rPr>
          <w:rFonts w:cs="Arial"/>
          <w:szCs w:val="20"/>
          <w:lang w:val="en-NZ"/>
        </w:rPr>
      </w:pPr>
      <w:r w:rsidRPr="00086021">
        <w:rPr>
          <w:rFonts w:cs="Arial"/>
          <w:szCs w:val="20"/>
          <w:lang w:val="en-NZ"/>
        </w:rPr>
        <w:t>Learner</w:t>
      </w:r>
      <w:r w:rsidR="00D72A1B" w:rsidRPr="00086021">
        <w:rPr>
          <w:rFonts w:cs="Arial"/>
          <w:szCs w:val="20"/>
          <w:lang w:val="en-NZ"/>
        </w:rPr>
        <w:t>s whose name</w:t>
      </w:r>
      <w:r w:rsidR="00175FC5" w:rsidRPr="00086021">
        <w:rPr>
          <w:rFonts w:cs="Arial"/>
          <w:szCs w:val="20"/>
          <w:lang w:val="en-NZ"/>
        </w:rPr>
        <w:t>s</w:t>
      </w:r>
      <w:r w:rsidR="00001C0B" w:rsidRPr="00086021">
        <w:rPr>
          <w:rFonts w:cs="Arial"/>
          <w:szCs w:val="20"/>
          <w:lang w:val="en-NZ"/>
        </w:rPr>
        <w:t xml:space="preserve"> </w:t>
      </w:r>
      <w:r w:rsidR="00D72A1B" w:rsidRPr="00086021">
        <w:rPr>
          <w:rFonts w:cs="Arial"/>
          <w:szCs w:val="20"/>
          <w:lang w:val="en-NZ"/>
        </w:rPr>
        <w:t xml:space="preserve">have changed since the issue of any </w:t>
      </w:r>
      <w:r w:rsidRPr="00086021">
        <w:rPr>
          <w:rFonts w:cs="Arial"/>
          <w:szCs w:val="20"/>
          <w:lang w:val="en-NZ"/>
        </w:rPr>
        <w:t>ATNZ</w:t>
      </w:r>
      <w:r w:rsidR="00D72A1B" w:rsidRPr="00086021">
        <w:rPr>
          <w:rFonts w:cs="Arial"/>
          <w:szCs w:val="20"/>
          <w:lang w:val="en-NZ"/>
        </w:rPr>
        <w:t xml:space="preserve"> document </w:t>
      </w:r>
      <w:r w:rsidR="006D506A" w:rsidRPr="00086021">
        <w:rPr>
          <w:rFonts w:cs="Arial"/>
          <w:szCs w:val="20"/>
          <w:lang w:val="en-NZ"/>
        </w:rPr>
        <w:t xml:space="preserve">must </w:t>
      </w:r>
      <w:r w:rsidR="00D72A1B" w:rsidRPr="00086021">
        <w:rPr>
          <w:rFonts w:cs="Arial"/>
          <w:szCs w:val="20"/>
          <w:lang w:val="en-NZ"/>
        </w:rPr>
        <w:t xml:space="preserve">provide </w:t>
      </w:r>
      <w:r w:rsidRPr="00086021">
        <w:rPr>
          <w:rFonts w:cs="Arial"/>
          <w:szCs w:val="20"/>
          <w:lang w:val="en-NZ"/>
        </w:rPr>
        <w:t>ATNZ</w:t>
      </w:r>
      <w:r w:rsidR="005D0426" w:rsidRPr="00086021">
        <w:rPr>
          <w:rFonts w:cs="Arial"/>
          <w:szCs w:val="20"/>
          <w:lang w:val="en-NZ"/>
        </w:rPr>
        <w:t xml:space="preserve"> </w:t>
      </w:r>
      <w:r w:rsidR="00A75435" w:rsidRPr="00086021">
        <w:rPr>
          <w:rFonts w:cs="Arial"/>
          <w:szCs w:val="20"/>
          <w:lang w:val="en-NZ"/>
        </w:rPr>
        <w:t xml:space="preserve">with </w:t>
      </w:r>
      <w:r w:rsidR="00F14DFC" w:rsidRPr="00086021">
        <w:rPr>
          <w:rFonts w:cs="Arial"/>
          <w:szCs w:val="20"/>
          <w:lang w:val="en-NZ"/>
        </w:rPr>
        <w:t xml:space="preserve">appropriate </w:t>
      </w:r>
      <w:r w:rsidR="00A75435" w:rsidRPr="00086021">
        <w:rPr>
          <w:rFonts w:cs="Arial"/>
          <w:szCs w:val="20"/>
          <w:lang w:val="en-NZ"/>
        </w:rPr>
        <w:t>evidence to</w:t>
      </w:r>
      <w:r w:rsidR="00D72A1B" w:rsidRPr="00086021">
        <w:rPr>
          <w:rFonts w:cs="Arial"/>
          <w:szCs w:val="20"/>
          <w:lang w:val="en-NZ"/>
        </w:rPr>
        <w:t xml:space="preserve"> support the change</w:t>
      </w:r>
      <w:r w:rsidR="00511E3E" w:rsidRPr="00086021">
        <w:rPr>
          <w:rFonts w:cs="Arial"/>
          <w:szCs w:val="20"/>
          <w:lang w:val="en-NZ"/>
        </w:rPr>
        <w:t xml:space="preserve"> including, but not </w:t>
      </w:r>
      <w:r w:rsidR="00CD4593" w:rsidRPr="00086021">
        <w:rPr>
          <w:rFonts w:cs="Arial"/>
          <w:szCs w:val="20"/>
          <w:lang w:val="en-NZ"/>
        </w:rPr>
        <w:t>limited</w:t>
      </w:r>
      <w:r w:rsidR="00511E3E" w:rsidRPr="00086021">
        <w:rPr>
          <w:rFonts w:cs="Arial"/>
          <w:szCs w:val="20"/>
          <w:lang w:val="en-NZ"/>
        </w:rPr>
        <w:t xml:space="preserve"> to, a</w:t>
      </w:r>
      <w:r w:rsidR="00A75435" w:rsidRPr="00086021">
        <w:rPr>
          <w:rFonts w:cs="Arial"/>
          <w:szCs w:val="20"/>
          <w:lang w:val="en-NZ"/>
        </w:rPr>
        <w:t>:</w:t>
      </w:r>
    </w:p>
    <w:p w14:paraId="4D207915" w14:textId="77777777" w:rsidR="00A75435" w:rsidRPr="00086021" w:rsidRDefault="00001C0B" w:rsidP="00A75435">
      <w:pPr>
        <w:pStyle w:val="Bullet1"/>
        <w:tabs>
          <w:tab w:val="clear" w:pos="1494"/>
        </w:tabs>
        <w:ind w:left="2127" w:hanging="426"/>
        <w:rPr>
          <w:rFonts w:cs="Arial"/>
          <w:lang w:val="en-NZ"/>
        </w:rPr>
      </w:pPr>
      <w:r w:rsidRPr="00086021">
        <w:rPr>
          <w:rFonts w:cs="Arial"/>
          <w:lang w:val="en-NZ"/>
        </w:rPr>
        <w:t xml:space="preserve">Marriage </w:t>
      </w:r>
      <w:proofErr w:type="gramStart"/>
      <w:r w:rsidRPr="00086021">
        <w:rPr>
          <w:rFonts w:cs="Arial"/>
          <w:lang w:val="en-NZ"/>
        </w:rPr>
        <w:t>Certificate;</w:t>
      </w:r>
      <w:proofErr w:type="gramEnd"/>
      <w:r w:rsidRPr="00086021">
        <w:rPr>
          <w:rFonts w:cs="Arial"/>
          <w:lang w:val="en-NZ"/>
        </w:rPr>
        <w:t xml:space="preserve"> </w:t>
      </w:r>
    </w:p>
    <w:p w14:paraId="71D20759" w14:textId="77777777" w:rsidR="00A75435" w:rsidRPr="00086021" w:rsidRDefault="00A75435" w:rsidP="00A75435">
      <w:pPr>
        <w:pStyle w:val="Bullet1"/>
        <w:tabs>
          <w:tab w:val="clear" w:pos="1494"/>
        </w:tabs>
        <w:ind w:left="2127" w:hanging="426"/>
        <w:rPr>
          <w:rFonts w:cs="Arial"/>
          <w:lang w:val="en-NZ"/>
        </w:rPr>
      </w:pPr>
      <w:r w:rsidRPr="00086021">
        <w:rPr>
          <w:rFonts w:cs="Arial"/>
          <w:lang w:val="en-NZ"/>
        </w:rPr>
        <w:t xml:space="preserve">Dissolution of </w:t>
      </w:r>
      <w:r w:rsidR="00001C0B" w:rsidRPr="00086021">
        <w:rPr>
          <w:rFonts w:cs="Arial"/>
          <w:lang w:val="en-NZ"/>
        </w:rPr>
        <w:t xml:space="preserve">Marriage </w:t>
      </w:r>
      <w:proofErr w:type="gramStart"/>
      <w:r w:rsidR="00001C0B" w:rsidRPr="00086021">
        <w:rPr>
          <w:rFonts w:cs="Arial"/>
          <w:lang w:val="en-NZ"/>
        </w:rPr>
        <w:t>Certificate;</w:t>
      </w:r>
      <w:proofErr w:type="gramEnd"/>
      <w:r w:rsidR="00001C0B" w:rsidRPr="00086021">
        <w:rPr>
          <w:rFonts w:cs="Arial"/>
          <w:lang w:val="en-NZ"/>
        </w:rPr>
        <w:t xml:space="preserve"> </w:t>
      </w:r>
    </w:p>
    <w:p w14:paraId="2170E7AE" w14:textId="77777777" w:rsidR="00A75435" w:rsidRPr="00086021" w:rsidRDefault="00A75435" w:rsidP="00A75435">
      <w:pPr>
        <w:pStyle w:val="Bullet1"/>
        <w:tabs>
          <w:tab w:val="clear" w:pos="1494"/>
        </w:tabs>
        <w:ind w:left="2127" w:hanging="426"/>
        <w:rPr>
          <w:rFonts w:cs="Arial"/>
          <w:lang w:val="en-NZ"/>
        </w:rPr>
      </w:pPr>
      <w:r w:rsidRPr="00086021">
        <w:rPr>
          <w:rFonts w:cs="Arial"/>
          <w:lang w:val="en-NZ"/>
        </w:rPr>
        <w:t xml:space="preserve">Statutory Declaration issued by the Registrar of Births, Deaths, and Marriages; or </w:t>
      </w:r>
    </w:p>
    <w:p w14:paraId="0374CBEA" w14:textId="77777777" w:rsidR="00A75435" w:rsidRPr="00086021" w:rsidRDefault="00A75435" w:rsidP="00A75435">
      <w:pPr>
        <w:pStyle w:val="Bullet1"/>
        <w:tabs>
          <w:tab w:val="clear" w:pos="1494"/>
        </w:tabs>
        <w:ind w:left="2127" w:hanging="426"/>
        <w:rPr>
          <w:rFonts w:cs="Arial"/>
          <w:lang w:val="en-NZ"/>
        </w:rPr>
      </w:pPr>
      <w:r w:rsidRPr="00086021">
        <w:rPr>
          <w:rFonts w:cs="Arial"/>
          <w:lang w:val="en-NZ"/>
        </w:rPr>
        <w:t>Birth Certificate.</w:t>
      </w:r>
    </w:p>
    <w:p w14:paraId="32BF9159" w14:textId="77777777" w:rsidR="00876D42" w:rsidRPr="00032FAF" w:rsidRDefault="00D72A1B" w:rsidP="00D942F7">
      <w:pPr>
        <w:pStyle w:val="Heading2No"/>
        <w:rPr>
          <w:rFonts w:cs="Arial"/>
          <w:szCs w:val="20"/>
          <w:lang w:val="en-NZ"/>
        </w:rPr>
      </w:pPr>
      <w:r w:rsidRPr="00032FAF">
        <w:rPr>
          <w:rFonts w:cs="Arial"/>
          <w:szCs w:val="20"/>
          <w:lang w:val="en-NZ"/>
        </w:rPr>
        <w:t>Refusal or cancellation of enrolment</w:t>
      </w:r>
    </w:p>
    <w:p w14:paraId="7A37C5CA" w14:textId="0BBD88EB" w:rsidR="00736967" w:rsidRPr="0003653F" w:rsidRDefault="00893B2F">
      <w:pPr>
        <w:pStyle w:val="BlockNumber"/>
        <w:ind w:left="1587" w:hanging="873"/>
        <w:rPr>
          <w:rFonts w:cs="Arial"/>
          <w:szCs w:val="20"/>
          <w:lang w:val="en-NZ"/>
        </w:rPr>
      </w:pPr>
      <w:r>
        <w:rPr>
          <w:rFonts w:cs="Arial"/>
          <w:szCs w:val="20"/>
          <w:lang w:val="en-NZ"/>
        </w:rPr>
        <w:t>ATNZ</w:t>
      </w:r>
      <w:r w:rsidR="00D72A1B" w:rsidRPr="0003653F">
        <w:rPr>
          <w:rFonts w:cs="Arial"/>
          <w:szCs w:val="20"/>
          <w:lang w:val="en-NZ"/>
        </w:rPr>
        <w:t xml:space="preserve"> may refuse to </w:t>
      </w:r>
      <w:r w:rsidR="006F46B2" w:rsidRPr="0003653F">
        <w:rPr>
          <w:rFonts w:cs="Arial"/>
          <w:szCs w:val="20"/>
          <w:lang w:val="en-NZ"/>
        </w:rPr>
        <w:t>permit</w:t>
      </w:r>
      <w:r w:rsidR="00D72A1B" w:rsidRPr="0003653F">
        <w:rPr>
          <w:rFonts w:cs="Arial"/>
          <w:szCs w:val="20"/>
          <w:lang w:val="en-NZ"/>
        </w:rPr>
        <w:t xml:space="preserve">, or may cancel the enrolment of </w:t>
      </w:r>
      <w:r>
        <w:rPr>
          <w:rFonts w:cs="Arial"/>
          <w:szCs w:val="20"/>
          <w:lang w:val="en-NZ"/>
        </w:rPr>
        <w:t>learner</w:t>
      </w:r>
      <w:r w:rsidR="00D72A1B" w:rsidRPr="0003653F">
        <w:rPr>
          <w:rFonts w:cs="Arial"/>
          <w:szCs w:val="20"/>
          <w:lang w:val="en-NZ"/>
        </w:rPr>
        <w:t>s who:</w:t>
      </w:r>
    </w:p>
    <w:p w14:paraId="48ABDB01" w14:textId="6A5EB56E" w:rsidR="00736967" w:rsidRPr="0003653F" w:rsidRDefault="00D72A1B" w:rsidP="00135CF0">
      <w:pPr>
        <w:pStyle w:val="Bullet1"/>
        <w:tabs>
          <w:tab w:val="clear" w:pos="1494"/>
        </w:tabs>
        <w:ind w:left="2127" w:hanging="426"/>
        <w:rPr>
          <w:rFonts w:cs="Arial"/>
          <w:lang w:val="en-NZ"/>
        </w:rPr>
      </w:pPr>
      <w:r w:rsidRPr="0003653F">
        <w:rPr>
          <w:rFonts w:cs="Arial"/>
          <w:lang w:val="en-NZ"/>
        </w:rPr>
        <w:t xml:space="preserve">Are not of good character (including, but not </w:t>
      </w:r>
      <w:r w:rsidR="006F46B2" w:rsidRPr="0003653F">
        <w:rPr>
          <w:rFonts w:cs="Arial"/>
          <w:lang w:val="en-NZ"/>
        </w:rPr>
        <w:t>limited</w:t>
      </w:r>
      <w:r w:rsidRPr="0003653F">
        <w:rPr>
          <w:rFonts w:cs="Arial"/>
          <w:lang w:val="en-NZ"/>
        </w:rPr>
        <w:t xml:space="preserve"> to, having a bad debt history</w:t>
      </w:r>
      <w:r w:rsidR="00FF1BB7">
        <w:rPr>
          <w:rFonts w:cs="Arial"/>
          <w:lang w:val="en-NZ"/>
        </w:rPr>
        <w:t xml:space="preserve"> with </w:t>
      </w:r>
      <w:r w:rsidR="00893B2F">
        <w:rPr>
          <w:rFonts w:cs="Arial"/>
          <w:lang w:val="en-NZ"/>
        </w:rPr>
        <w:t>ATNZ</w:t>
      </w:r>
      <w:r w:rsidR="00F64F30" w:rsidRPr="0003653F">
        <w:rPr>
          <w:rFonts w:cs="Arial"/>
          <w:lang w:val="en-NZ"/>
        </w:rPr>
        <w:t>,</w:t>
      </w:r>
      <w:r w:rsidRPr="0003653F">
        <w:rPr>
          <w:rFonts w:cs="Arial"/>
          <w:lang w:val="en-NZ"/>
        </w:rPr>
        <w:t xml:space="preserve"> a criminal conviction</w:t>
      </w:r>
      <w:r w:rsidR="00F64F30" w:rsidRPr="0003653F">
        <w:rPr>
          <w:rFonts w:cs="Arial"/>
          <w:lang w:val="en-NZ"/>
        </w:rPr>
        <w:t xml:space="preserve">, or </w:t>
      </w:r>
      <w:r w:rsidR="00470E77" w:rsidRPr="0003653F">
        <w:rPr>
          <w:rFonts w:cs="Arial"/>
          <w:lang w:val="en-NZ"/>
        </w:rPr>
        <w:t xml:space="preserve">a history of </w:t>
      </w:r>
      <w:r w:rsidR="00F64F30" w:rsidRPr="0003653F">
        <w:rPr>
          <w:rFonts w:cs="Arial"/>
          <w:lang w:val="en-NZ"/>
        </w:rPr>
        <w:t xml:space="preserve">breaching </w:t>
      </w:r>
      <w:r w:rsidR="00893B2F">
        <w:rPr>
          <w:rFonts w:cs="Arial"/>
          <w:lang w:val="en-NZ"/>
        </w:rPr>
        <w:t>ATNZ</w:t>
      </w:r>
      <w:r w:rsidR="00F64F30" w:rsidRPr="0003653F">
        <w:rPr>
          <w:rFonts w:cs="Arial"/>
          <w:lang w:val="en-NZ"/>
        </w:rPr>
        <w:t xml:space="preserve"> regulations or policies</w:t>
      </w:r>
      <w:proofErr w:type="gramStart"/>
      <w:r w:rsidRPr="0003653F">
        <w:rPr>
          <w:rFonts w:cs="Arial"/>
          <w:lang w:val="en-NZ"/>
        </w:rPr>
        <w:t>);</w:t>
      </w:r>
      <w:proofErr w:type="gramEnd"/>
    </w:p>
    <w:p w14:paraId="03FDA2B0" w14:textId="6FEB0535" w:rsidR="00736967" w:rsidRPr="0003653F" w:rsidRDefault="00D72A1B" w:rsidP="00135CF0">
      <w:pPr>
        <w:pStyle w:val="Bullet1"/>
        <w:tabs>
          <w:tab w:val="clear" w:pos="1494"/>
        </w:tabs>
        <w:ind w:left="2127" w:hanging="426"/>
        <w:rPr>
          <w:rFonts w:cs="Arial"/>
          <w:lang w:val="en-NZ"/>
        </w:rPr>
      </w:pPr>
      <w:r w:rsidRPr="0003653F">
        <w:rPr>
          <w:rFonts w:cs="Arial"/>
          <w:lang w:val="en-NZ"/>
        </w:rPr>
        <w:t>Have been guilty of misconduct or a breach of discipline (</w:t>
      </w:r>
      <w:r w:rsidR="00C8575C" w:rsidRPr="0003653F">
        <w:rPr>
          <w:rFonts w:cs="Arial"/>
          <w:lang w:val="en-NZ"/>
        </w:rPr>
        <w:t xml:space="preserve">see </w:t>
      </w:r>
      <w:r w:rsidRPr="0003653F">
        <w:rPr>
          <w:rFonts w:cs="Arial"/>
          <w:lang w:val="en-NZ"/>
        </w:rPr>
        <w:t>section 1</w:t>
      </w:r>
      <w:r w:rsidR="001F048E">
        <w:rPr>
          <w:rFonts w:cs="Arial"/>
          <w:lang w:val="en-NZ"/>
        </w:rPr>
        <w:t>0</w:t>
      </w:r>
      <w:r w:rsidRPr="0003653F">
        <w:rPr>
          <w:rFonts w:cs="Arial"/>
          <w:lang w:val="en-NZ"/>
        </w:rPr>
        <w:t xml:space="preserve">: </w:t>
      </w:r>
      <w:r w:rsidR="005A0A88" w:rsidRPr="0003653F">
        <w:rPr>
          <w:rFonts w:cs="Arial"/>
          <w:lang w:val="en-NZ"/>
        </w:rPr>
        <w:t>Misconduct</w:t>
      </w:r>
      <w:proofErr w:type="gramStart"/>
      <w:r w:rsidRPr="0003653F">
        <w:rPr>
          <w:rFonts w:cs="Arial"/>
          <w:lang w:val="en-NZ"/>
        </w:rPr>
        <w:t>);</w:t>
      </w:r>
      <w:proofErr w:type="gramEnd"/>
    </w:p>
    <w:p w14:paraId="3456EDF0" w14:textId="77777777" w:rsidR="00736967" w:rsidRDefault="005B449A" w:rsidP="00135CF0">
      <w:pPr>
        <w:pStyle w:val="Bullet1"/>
        <w:tabs>
          <w:tab w:val="clear" w:pos="1494"/>
        </w:tabs>
        <w:ind w:left="2127" w:hanging="426"/>
        <w:rPr>
          <w:rFonts w:cs="Arial"/>
          <w:lang w:val="en-NZ"/>
        </w:rPr>
      </w:pPr>
      <w:r w:rsidRPr="0003653F">
        <w:rPr>
          <w:rFonts w:cs="Arial"/>
          <w:lang w:val="en-NZ"/>
        </w:rPr>
        <w:t>Are enrolled for full-time instruction in another institution or secondary school; or</w:t>
      </w:r>
    </w:p>
    <w:p w14:paraId="05F2EC47" w14:textId="0D6E5306" w:rsidR="00064D99" w:rsidRPr="0003653F" w:rsidRDefault="00064D99" w:rsidP="00135CF0">
      <w:pPr>
        <w:pStyle w:val="Bullet1"/>
        <w:tabs>
          <w:tab w:val="clear" w:pos="1494"/>
        </w:tabs>
        <w:ind w:left="2127" w:hanging="426"/>
        <w:rPr>
          <w:rFonts w:cs="Arial"/>
          <w:lang w:val="en-NZ"/>
        </w:rPr>
      </w:pPr>
      <w:r>
        <w:rPr>
          <w:rFonts w:cs="Arial"/>
          <w:lang w:val="en-NZ"/>
        </w:rPr>
        <w:t>Are deemed not to have a realistic prospect of successfully completing the programme</w:t>
      </w:r>
      <w:r w:rsidR="002C53C0">
        <w:rPr>
          <w:rFonts w:cs="Arial"/>
          <w:lang w:val="en-NZ"/>
        </w:rPr>
        <w:t xml:space="preserve">, </w:t>
      </w:r>
      <w:proofErr w:type="spellStart"/>
      <w:r w:rsidR="002C53C0">
        <w:rPr>
          <w:rFonts w:cs="Arial"/>
          <w:lang w:val="en-NZ"/>
        </w:rPr>
        <w:t>microcredential</w:t>
      </w:r>
      <w:proofErr w:type="spellEnd"/>
      <w:r>
        <w:rPr>
          <w:rFonts w:cs="Arial"/>
          <w:lang w:val="en-NZ"/>
        </w:rPr>
        <w:t xml:space="preserve"> or </w:t>
      </w:r>
      <w:r w:rsidR="006B1721">
        <w:rPr>
          <w:rFonts w:cs="Arial"/>
          <w:lang w:val="en-NZ"/>
        </w:rPr>
        <w:t>course</w:t>
      </w:r>
      <w:r>
        <w:rPr>
          <w:rFonts w:cs="Arial"/>
          <w:lang w:val="en-NZ"/>
        </w:rPr>
        <w:t xml:space="preserve"> under Regulation </w:t>
      </w:r>
      <w:r w:rsidR="00CD1D84">
        <w:rPr>
          <w:rFonts w:cs="Arial"/>
          <w:lang w:val="en-NZ"/>
        </w:rPr>
        <w:t>3</w:t>
      </w:r>
      <w:r>
        <w:rPr>
          <w:rFonts w:cs="Arial"/>
          <w:lang w:val="en-NZ"/>
        </w:rPr>
        <w:t>.2.</w:t>
      </w:r>
      <w:r w:rsidR="00A04ED6">
        <w:rPr>
          <w:rFonts w:cs="Arial"/>
          <w:lang w:val="en-NZ"/>
        </w:rPr>
        <w:t>4</w:t>
      </w:r>
      <w:r>
        <w:rPr>
          <w:rFonts w:cs="Arial"/>
          <w:lang w:val="en-NZ"/>
        </w:rPr>
        <w:t>.</w:t>
      </w:r>
    </w:p>
    <w:p w14:paraId="535F1C56" w14:textId="0AD29D1B" w:rsidR="00D942F7" w:rsidRPr="00140E0D" w:rsidRDefault="005B449A" w:rsidP="00EA0D22">
      <w:pPr>
        <w:pStyle w:val="Bullet1"/>
        <w:tabs>
          <w:tab w:val="clear" w:pos="1494"/>
        </w:tabs>
        <w:ind w:left="2127" w:hanging="426"/>
        <w:rPr>
          <w:rFonts w:cs="Arial"/>
        </w:rPr>
      </w:pPr>
      <w:r w:rsidRPr="0003653F">
        <w:rPr>
          <w:rFonts w:cs="Arial"/>
          <w:lang w:val="en-NZ"/>
        </w:rPr>
        <w:t>Have made insufficient progress in their study</w:t>
      </w:r>
      <w:r w:rsidR="00905133" w:rsidRPr="0003653F">
        <w:rPr>
          <w:rFonts w:cs="Arial"/>
          <w:lang w:val="en-NZ"/>
        </w:rPr>
        <w:t xml:space="preserve"> after a reasonable trial</w:t>
      </w:r>
      <w:r w:rsidRPr="0003653F">
        <w:rPr>
          <w:rFonts w:cs="Arial"/>
          <w:lang w:val="en-NZ"/>
        </w:rPr>
        <w:t xml:space="preserve"> (</w:t>
      </w:r>
      <w:r w:rsidR="00C8575C" w:rsidRPr="0003653F">
        <w:rPr>
          <w:rFonts w:cs="Arial"/>
          <w:lang w:val="en-NZ"/>
        </w:rPr>
        <w:t xml:space="preserve">see </w:t>
      </w:r>
      <w:r w:rsidRPr="0003653F">
        <w:rPr>
          <w:rFonts w:cs="Arial"/>
          <w:lang w:val="en-NZ"/>
        </w:rPr>
        <w:t>section</w:t>
      </w:r>
      <w:r w:rsidR="00E4707D" w:rsidRPr="0003653F">
        <w:rPr>
          <w:rFonts w:cs="Arial"/>
          <w:lang w:val="en-NZ"/>
        </w:rPr>
        <w:t xml:space="preserve"> </w:t>
      </w:r>
      <w:r w:rsidR="005074FD">
        <w:rPr>
          <w:rFonts w:cs="Arial"/>
          <w:lang w:val="en-NZ"/>
        </w:rPr>
        <w:t>9</w:t>
      </w:r>
      <w:r w:rsidRPr="0003653F">
        <w:rPr>
          <w:rFonts w:cs="Arial"/>
          <w:lang w:val="en-NZ"/>
        </w:rPr>
        <w:t xml:space="preserve">: </w:t>
      </w:r>
      <w:r w:rsidR="00E4707D" w:rsidRPr="0003653F">
        <w:rPr>
          <w:rFonts w:cs="Arial"/>
        </w:rPr>
        <w:fldChar w:fldCharType="begin"/>
      </w:r>
      <w:r w:rsidR="00E4707D" w:rsidRPr="0003653F">
        <w:rPr>
          <w:rFonts w:cs="Arial"/>
        </w:rPr>
        <w:instrText xml:space="preserve"> REF _Ref221093348 \h  \* MERGEFORMAT </w:instrText>
      </w:r>
      <w:r w:rsidR="00E4707D" w:rsidRPr="0003653F">
        <w:rPr>
          <w:rFonts w:cs="Arial"/>
        </w:rPr>
      </w:r>
      <w:r w:rsidR="00E4707D" w:rsidRPr="0003653F">
        <w:rPr>
          <w:rFonts w:cs="Arial"/>
        </w:rPr>
        <w:fldChar w:fldCharType="separate"/>
      </w:r>
      <w:r w:rsidR="00E12AEE" w:rsidRPr="0003653F">
        <w:rPr>
          <w:rFonts w:cs="Arial"/>
          <w:lang w:val="en-NZ"/>
        </w:rPr>
        <w:t>Academic Progress</w:t>
      </w:r>
      <w:r w:rsidR="00E4707D" w:rsidRPr="0003653F">
        <w:rPr>
          <w:rFonts w:cs="Arial"/>
        </w:rPr>
        <w:fldChar w:fldCharType="end"/>
      </w:r>
      <w:r w:rsidRPr="0003653F">
        <w:rPr>
          <w:rFonts w:cs="Arial"/>
          <w:lang w:val="en-NZ"/>
        </w:rPr>
        <w:t>).</w:t>
      </w:r>
    </w:p>
    <w:p w14:paraId="4CC25740" w14:textId="57EE5A64" w:rsidR="00140E0D" w:rsidRPr="0003653F" w:rsidRDefault="00140E0D" w:rsidP="00EA0D22">
      <w:pPr>
        <w:pStyle w:val="Bullet1"/>
        <w:tabs>
          <w:tab w:val="clear" w:pos="1494"/>
        </w:tabs>
        <w:ind w:left="2127" w:hanging="426"/>
        <w:rPr>
          <w:rFonts w:cs="Arial"/>
        </w:rPr>
      </w:pPr>
      <w:r>
        <w:rPr>
          <w:rFonts w:cs="Arial"/>
          <w:lang w:val="en-NZ"/>
        </w:rPr>
        <w:t>Have a bad debt history with ATNZ</w:t>
      </w:r>
      <w:r w:rsidR="007D320F">
        <w:rPr>
          <w:rFonts w:cs="Arial"/>
          <w:lang w:val="en-NZ"/>
        </w:rPr>
        <w:t>.</w:t>
      </w:r>
    </w:p>
    <w:p w14:paraId="02CEE018" w14:textId="4D4E6709" w:rsidR="00E620DE" w:rsidRPr="00086021" w:rsidRDefault="00D72A1B" w:rsidP="00B45A09">
      <w:pPr>
        <w:pStyle w:val="BlockNumber"/>
        <w:ind w:left="1587" w:hanging="873"/>
        <w:rPr>
          <w:rFonts w:cs="Arial"/>
          <w:szCs w:val="20"/>
          <w:lang w:val="en-NZ"/>
        </w:rPr>
      </w:pPr>
      <w:r w:rsidRPr="00086021">
        <w:rPr>
          <w:rFonts w:cs="Arial"/>
          <w:szCs w:val="20"/>
          <w:lang w:val="en-NZ"/>
        </w:rPr>
        <w:t xml:space="preserve">Only the </w:t>
      </w:r>
      <w:r w:rsidR="00893B2F" w:rsidRPr="00086021">
        <w:rPr>
          <w:rFonts w:cs="Arial"/>
          <w:szCs w:val="20"/>
          <w:lang w:val="en-NZ"/>
        </w:rPr>
        <w:t>ATNZ</w:t>
      </w:r>
      <w:r w:rsidR="00A25338" w:rsidRPr="00086021">
        <w:rPr>
          <w:rFonts w:cs="Arial"/>
          <w:szCs w:val="20"/>
          <w:lang w:val="en-NZ"/>
        </w:rPr>
        <w:t xml:space="preserve"> </w:t>
      </w:r>
      <w:r w:rsidRPr="00086021">
        <w:rPr>
          <w:rFonts w:cs="Arial"/>
          <w:szCs w:val="20"/>
          <w:lang w:val="en-NZ"/>
        </w:rPr>
        <w:t xml:space="preserve">Chief Executive may cancel </w:t>
      </w:r>
      <w:r w:rsidR="00880D60" w:rsidRPr="00086021">
        <w:rPr>
          <w:rFonts w:cs="Arial"/>
          <w:szCs w:val="20"/>
          <w:lang w:val="en-NZ"/>
        </w:rPr>
        <w:t xml:space="preserve">a </w:t>
      </w:r>
      <w:r w:rsidR="00893B2F" w:rsidRPr="00086021">
        <w:rPr>
          <w:rFonts w:cs="Arial"/>
          <w:szCs w:val="20"/>
          <w:lang w:val="en-NZ"/>
        </w:rPr>
        <w:t>learner</w:t>
      </w:r>
      <w:r w:rsidR="00880D60" w:rsidRPr="00086021">
        <w:rPr>
          <w:rFonts w:cs="Arial"/>
          <w:szCs w:val="20"/>
          <w:lang w:val="en-NZ"/>
        </w:rPr>
        <w:t>’s</w:t>
      </w:r>
      <w:r w:rsidRPr="00086021">
        <w:rPr>
          <w:rFonts w:cs="Arial"/>
          <w:szCs w:val="20"/>
          <w:lang w:val="en-NZ"/>
        </w:rPr>
        <w:t xml:space="preserve"> enrolment</w:t>
      </w:r>
      <w:r w:rsidR="00F6699E" w:rsidRPr="00086021">
        <w:rPr>
          <w:rFonts w:cs="Arial"/>
          <w:szCs w:val="20"/>
          <w:lang w:val="en-NZ"/>
        </w:rPr>
        <w:t xml:space="preserve"> for </w:t>
      </w:r>
      <w:r w:rsidR="00B45A09" w:rsidRPr="00086021">
        <w:rPr>
          <w:rFonts w:cs="Arial"/>
          <w:szCs w:val="20"/>
          <w:lang w:val="en-NZ"/>
        </w:rPr>
        <w:t>misconduct or a breach of discipline</w:t>
      </w:r>
      <w:r w:rsidR="00C32B72" w:rsidRPr="00086021">
        <w:rPr>
          <w:rFonts w:cs="Arial"/>
          <w:szCs w:val="20"/>
          <w:lang w:val="en-NZ"/>
        </w:rPr>
        <w:t xml:space="preserve"> (see section 1</w:t>
      </w:r>
      <w:r w:rsidR="00467121" w:rsidRPr="00086021">
        <w:rPr>
          <w:rFonts w:cs="Arial"/>
          <w:szCs w:val="20"/>
          <w:lang w:val="en-NZ"/>
        </w:rPr>
        <w:t>3</w:t>
      </w:r>
      <w:r w:rsidR="00C32B72" w:rsidRPr="00086021">
        <w:rPr>
          <w:rFonts w:cs="Arial"/>
          <w:szCs w:val="20"/>
          <w:lang w:val="en-NZ"/>
        </w:rPr>
        <w:t xml:space="preserve">: </w:t>
      </w:r>
      <w:r w:rsidR="002440A7" w:rsidRPr="00086021">
        <w:rPr>
          <w:rFonts w:cs="Arial"/>
          <w:szCs w:val="20"/>
          <w:lang w:val="en-NZ"/>
        </w:rPr>
        <w:t xml:space="preserve">Misbehaviour and </w:t>
      </w:r>
      <w:r w:rsidR="00C32B72" w:rsidRPr="00086021">
        <w:rPr>
          <w:rFonts w:cs="Arial"/>
          <w:szCs w:val="20"/>
          <w:lang w:val="en-NZ"/>
        </w:rPr>
        <w:t>Misconduct)</w:t>
      </w:r>
      <w:r w:rsidR="00B45A09" w:rsidRPr="00086021">
        <w:rPr>
          <w:rFonts w:cs="Arial"/>
          <w:szCs w:val="20"/>
          <w:lang w:val="en-NZ"/>
        </w:rPr>
        <w:t>.</w:t>
      </w:r>
    </w:p>
    <w:p w14:paraId="5577ABD2" w14:textId="5C73D004" w:rsidR="00E620DE" w:rsidRPr="00086021" w:rsidRDefault="00893B2F" w:rsidP="00E620DE">
      <w:pPr>
        <w:pStyle w:val="BlockNumber"/>
        <w:ind w:left="1587" w:hanging="873"/>
        <w:rPr>
          <w:rFonts w:cs="Arial"/>
          <w:szCs w:val="20"/>
          <w:lang w:val="en-NZ"/>
        </w:rPr>
      </w:pPr>
      <w:r w:rsidRPr="00086021">
        <w:rPr>
          <w:rFonts w:cs="Arial"/>
          <w:szCs w:val="20"/>
          <w:lang w:val="en-NZ"/>
        </w:rPr>
        <w:t>Learner</w:t>
      </w:r>
      <w:r w:rsidR="00A15709" w:rsidRPr="00086021">
        <w:rPr>
          <w:rFonts w:cs="Arial"/>
          <w:szCs w:val="20"/>
          <w:lang w:val="en-NZ"/>
        </w:rPr>
        <w:t>s</w:t>
      </w:r>
      <w:r w:rsidR="00E620DE" w:rsidRPr="00086021">
        <w:rPr>
          <w:rFonts w:cs="Arial"/>
          <w:szCs w:val="20"/>
          <w:lang w:val="en-NZ"/>
        </w:rPr>
        <w:t xml:space="preserve"> whose enrolment ha</w:t>
      </w:r>
      <w:r w:rsidR="00440AE9" w:rsidRPr="00086021">
        <w:rPr>
          <w:rFonts w:cs="Arial"/>
          <w:szCs w:val="20"/>
          <w:lang w:val="en-NZ"/>
        </w:rPr>
        <w:t>s</w:t>
      </w:r>
      <w:r w:rsidR="00E620DE" w:rsidRPr="00086021">
        <w:rPr>
          <w:rFonts w:cs="Arial"/>
          <w:szCs w:val="20"/>
          <w:lang w:val="en-NZ"/>
        </w:rPr>
        <w:t xml:space="preserve"> been cancelled as a result of misconduct may not apply to re-enrol at </w:t>
      </w:r>
      <w:r w:rsidRPr="00086021">
        <w:rPr>
          <w:rFonts w:cs="Arial"/>
          <w:szCs w:val="20"/>
          <w:lang w:val="en-NZ"/>
        </w:rPr>
        <w:t>ATNZ</w:t>
      </w:r>
      <w:r w:rsidR="00E620DE" w:rsidRPr="00086021">
        <w:rPr>
          <w:rFonts w:cs="Arial"/>
          <w:szCs w:val="20"/>
          <w:lang w:val="en-NZ"/>
        </w:rPr>
        <w:t xml:space="preserve"> until their term of exclusion has been </w:t>
      </w:r>
      <w:proofErr w:type="spellStart"/>
      <w:proofErr w:type="gramStart"/>
      <w:r w:rsidR="00E620DE" w:rsidRPr="00086021">
        <w:rPr>
          <w:rFonts w:cs="Arial"/>
          <w:szCs w:val="20"/>
          <w:lang w:val="en-NZ"/>
        </w:rPr>
        <w:t>lifted,or</w:t>
      </w:r>
      <w:proofErr w:type="spellEnd"/>
      <w:proofErr w:type="gramEnd"/>
      <w:r w:rsidR="00E620DE" w:rsidRPr="00086021">
        <w:rPr>
          <w:rFonts w:cs="Arial"/>
          <w:szCs w:val="20"/>
          <w:lang w:val="en-NZ"/>
        </w:rPr>
        <w:t xml:space="preserve"> has expired.  </w:t>
      </w:r>
      <w:r w:rsidRPr="00086021">
        <w:rPr>
          <w:rFonts w:cs="Arial"/>
          <w:szCs w:val="20"/>
          <w:lang w:val="en-NZ"/>
        </w:rPr>
        <w:t>ATNZ</w:t>
      </w:r>
      <w:r w:rsidR="00E620DE" w:rsidRPr="00086021">
        <w:rPr>
          <w:rFonts w:cs="Arial"/>
          <w:szCs w:val="20"/>
          <w:lang w:val="en-NZ"/>
        </w:rPr>
        <w:t>’s Chief Executive determines the term of exclusion in each case (see section 1</w:t>
      </w:r>
      <w:r w:rsidR="00467121" w:rsidRPr="00086021">
        <w:rPr>
          <w:rFonts w:cs="Arial"/>
          <w:szCs w:val="20"/>
          <w:lang w:val="en-NZ"/>
        </w:rPr>
        <w:t>3</w:t>
      </w:r>
      <w:r w:rsidR="00C47DC0" w:rsidRPr="00086021">
        <w:rPr>
          <w:rFonts w:cs="Arial"/>
          <w:szCs w:val="20"/>
          <w:lang w:val="en-NZ"/>
        </w:rPr>
        <w:t>:</w:t>
      </w:r>
      <w:r w:rsidR="00E620DE" w:rsidRPr="00086021">
        <w:rPr>
          <w:rFonts w:cs="Arial"/>
          <w:szCs w:val="20"/>
          <w:lang w:val="en-NZ"/>
        </w:rPr>
        <w:t xml:space="preserve"> </w:t>
      </w:r>
      <w:r w:rsidR="002440A7" w:rsidRPr="00086021">
        <w:rPr>
          <w:rFonts w:cs="Arial"/>
          <w:szCs w:val="20"/>
          <w:lang w:val="en-NZ"/>
        </w:rPr>
        <w:t xml:space="preserve">Misbehaviour and </w:t>
      </w:r>
      <w:r w:rsidR="00E620DE" w:rsidRPr="00086021">
        <w:rPr>
          <w:rFonts w:cs="Arial"/>
          <w:szCs w:val="20"/>
          <w:lang w:val="en-NZ"/>
        </w:rPr>
        <w:t>Misconduct).</w:t>
      </w:r>
    </w:p>
    <w:p w14:paraId="6B076C7C" w14:textId="69AEBA3B" w:rsidR="00F64F30" w:rsidRPr="00086021" w:rsidRDefault="00A15709" w:rsidP="001B682E">
      <w:pPr>
        <w:pStyle w:val="BlockNumber"/>
        <w:ind w:left="1587" w:hanging="873"/>
        <w:rPr>
          <w:rFonts w:cs="Arial"/>
          <w:szCs w:val="20"/>
          <w:lang w:val="en-NZ"/>
        </w:rPr>
      </w:pPr>
      <w:r w:rsidRPr="00086021">
        <w:rPr>
          <w:rFonts w:cs="Arial"/>
          <w:szCs w:val="20"/>
          <w:lang w:val="en-NZ"/>
        </w:rPr>
        <w:t>Where</w:t>
      </w:r>
      <w:r w:rsidR="00F64F30" w:rsidRPr="00086021">
        <w:rPr>
          <w:rFonts w:cs="Arial"/>
          <w:szCs w:val="20"/>
          <w:lang w:val="en-NZ"/>
        </w:rPr>
        <w:t xml:space="preserve">, </w:t>
      </w:r>
      <w:proofErr w:type="gramStart"/>
      <w:r w:rsidR="00F64F30" w:rsidRPr="00086021">
        <w:rPr>
          <w:rFonts w:cs="Arial"/>
          <w:szCs w:val="20"/>
          <w:lang w:val="en-NZ"/>
        </w:rPr>
        <w:t>subsequent to</w:t>
      </w:r>
      <w:proofErr w:type="gramEnd"/>
      <w:r w:rsidR="00F64F30" w:rsidRPr="00086021">
        <w:rPr>
          <w:rFonts w:cs="Arial"/>
          <w:szCs w:val="20"/>
          <w:lang w:val="en-NZ"/>
        </w:rPr>
        <w:t xml:space="preserve"> enrolment, </w:t>
      </w:r>
      <w:r w:rsidR="00893B2F" w:rsidRPr="00086021">
        <w:rPr>
          <w:rFonts w:cs="Arial"/>
          <w:szCs w:val="20"/>
          <w:lang w:val="en-NZ"/>
        </w:rPr>
        <w:t>learner</w:t>
      </w:r>
      <w:r w:rsidR="002F764A" w:rsidRPr="00086021">
        <w:rPr>
          <w:rFonts w:cs="Arial"/>
          <w:szCs w:val="20"/>
          <w:lang w:val="en-NZ"/>
        </w:rPr>
        <w:t>s are</w:t>
      </w:r>
      <w:r w:rsidR="00F64F30" w:rsidRPr="00086021">
        <w:rPr>
          <w:rFonts w:cs="Arial"/>
          <w:szCs w:val="20"/>
          <w:lang w:val="en-NZ"/>
        </w:rPr>
        <w:t xml:space="preserve"> found to have falsified evidence or not disclosed required information </w:t>
      </w:r>
      <w:r w:rsidR="00001C0B" w:rsidRPr="00086021">
        <w:rPr>
          <w:rFonts w:cs="Arial"/>
          <w:szCs w:val="20"/>
          <w:lang w:val="en-NZ"/>
        </w:rPr>
        <w:t xml:space="preserve">relevant </w:t>
      </w:r>
      <w:r w:rsidR="00F64F30" w:rsidRPr="00086021">
        <w:rPr>
          <w:rFonts w:cs="Arial"/>
          <w:szCs w:val="20"/>
          <w:lang w:val="en-NZ"/>
        </w:rPr>
        <w:t>to meeting the entry criteria for a programme</w:t>
      </w:r>
      <w:r w:rsidR="00C74400" w:rsidRPr="00086021">
        <w:rPr>
          <w:rFonts w:cs="Arial"/>
          <w:szCs w:val="20"/>
          <w:lang w:val="en-NZ"/>
        </w:rPr>
        <w:t xml:space="preserve"> or </w:t>
      </w:r>
      <w:proofErr w:type="spellStart"/>
      <w:r w:rsidR="00FF3B4F">
        <w:rPr>
          <w:rFonts w:cs="Arial"/>
          <w:szCs w:val="20"/>
          <w:lang w:val="en-NZ"/>
        </w:rPr>
        <w:t>microcredential</w:t>
      </w:r>
      <w:proofErr w:type="spellEnd"/>
      <w:r w:rsidR="00F64F30" w:rsidRPr="00086021">
        <w:rPr>
          <w:rFonts w:cs="Arial"/>
          <w:szCs w:val="20"/>
          <w:lang w:val="en-NZ"/>
        </w:rPr>
        <w:t xml:space="preserve">, this </w:t>
      </w:r>
      <w:r w:rsidR="004813F9" w:rsidRPr="00086021">
        <w:rPr>
          <w:rFonts w:cs="Arial"/>
          <w:szCs w:val="20"/>
          <w:lang w:val="en-NZ"/>
        </w:rPr>
        <w:t>shall</w:t>
      </w:r>
      <w:r w:rsidR="00F64F30" w:rsidRPr="00086021">
        <w:rPr>
          <w:rFonts w:cs="Arial"/>
          <w:szCs w:val="20"/>
          <w:lang w:val="en-NZ"/>
        </w:rPr>
        <w:t xml:space="preserve"> be treated as misconduct </w:t>
      </w:r>
      <w:r w:rsidR="00440AE9" w:rsidRPr="00086021">
        <w:rPr>
          <w:rFonts w:cs="Arial"/>
          <w:szCs w:val="20"/>
          <w:lang w:val="en-NZ"/>
        </w:rPr>
        <w:t>(see section 1</w:t>
      </w:r>
      <w:r w:rsidR="00CF074E" w:rsidRPr="00086021">
        <w:rPr>
          <w:rFonts w:cs="Arial"/>
          <w:szCs w:val="20"/>
          <w:lang w:val="en-NZ"/>
        </w:rPr>
        <w:t>0</w:t>
      </w:r>
      <w:r w:rsidR="00440AE9" w:rsidRPr="00086021">
        <w:rPr>
          <w:rFonts w:cs="Arial"/>
          <w:szCs w:val="20"/>
          <w:lang w:val="en-NZ"/>
        </w:rPr>
        <w:t>: Misconduct)</w:t>
      </w:r>
      <w:r w:rsidR="00F64F30" w:rsidRPr="00086021">
        <w:rPr>
          <w:rFonts w:cs="Arial"/>
          <w:szCs w:val="20"/>
          <w:lang w:val="en-NZ"/>
        </w:rPr>
        <w:t xml:space="preserve">.  This is likely to result in the cancellation of a </w:t>
      </w:r>
      <w:r w:rsidR="00893B2F" w:rsidRPr="00086021">
        <w:rPr>
          <w:rFonts w:cs="Arial"/>
          <w:szCs w:val="20"/>
          <w:lang w:val="en-NZ"/>
        </w:rPr>
        <w:t>learner</w:t>
      </w:r>
      <w:r w:rsidR="00F64F30" w:rsidRPr="00086021">
        <w:rPr>
          <w:rFonts w:cs="Arial"/>
          <w:szCs w:val="20"/>
          <w:lang w:val="en-NZ"/>
        </w:rPr>
        <w:t xml:space="preserve">’s enrolment without </w:t>
      </w:r>
      <w:r w:rsidR="003C7754" w:rsidRPr="00086021">
        <w:rPr>
          <w:rFonts w:cs="Arial"/>
          <w:szCs w:val="20"/>
          <w:lang w:val="en-NZ"/>
        </w:rPr>
        <w:t xml:space="preserve">a </w:t>
      </w:r>
      <w:r w:rsidR="00F64F30" w:rsidRPr="00086021">
        <w:rPr>
          <w:rFonts w:cs="Arial"/>
          <w:szCs w:val="20"/>
          <w:lang w:val="en-NZ"/>
        </w:rPr>
        <w:t>refund of fees</w:t>
      </w:r>
      <w:r w:rsidR="001F35E3" w:rsidRPr="00086021">
        <w:rPr>
          <w:rFonts w:cs="Arial"/>
          <w:szCs w:val="20"/>
          <w:lang w:val="en-NZ"/>
        </w:rPr>
        <w:t xml:space="preserve"> (see section </w:t>
      </w:r>
      <w:r w:rsidR="005074FD">
        <w:rPr>
          <w:rFonts w:cs="Arial"/>
          <w:szCs w:val="20"/>
          <w:lang w:val="en-NZ"/>
        </w:rPr>
        <w:t>3</w:t>
      </w:r>
      <w:r w:rsidR="001F35E3" w:rsidRPr="00086021">
        <w:rPr>
          <w:rFonts w:cs="Arial"/>
          <w:szCs w:val="20"/>
          <w:lang w:val="en-NZ"/>
        </w:rPr>
        <w:t>.8.1)</w:t>
      </w:r>
      <w:r w:rsidR="00F64F30" w:rsidRPr="00086021">
        <w:rPr>
          <w:rFonts w:cs="Arial"/>
          <w:szCs w:val="20"/>
          <w:lang w:val="en-NZ"/>
        </w:rPr>
        <w:t>.</w:t>
      </w:r>
    </w:p>
    <w:p w14:paraId="16D9AFAF" w14:textId="1A3F0B00" w:rsidR="008516A8" w:rsidRPr="00086021" w:rsidRDefault="00893B2F" w:rsidP="001D2DEA">
      <w:pPr>
        <w:pStyle w:val="BlockNumber"/>
        <w:ind w:left="1587" w:hanging="873"/>
        <w:rPr>
          <w:rFonts w:cs="Arial"/>
          <w:szCs w:val="20"/>
          <w:lang w:val="en-NZ"/>
        </w:rPr>
      </w:pPr>
      <w:r w:rsidRPr="00086021">
        <w:rPr>
          <w:rFonts w:cs="Arial"/>
          <w:szCs w:val="20"/>
          <w:lang w:val="en-NZ"/>
        </w:rPr>
        <w:t>Learner</w:t>
      </w:r>
      <w:r w:rsidR="00F64F30" w:rsidRPr="00086021">
        <w:rPr>
          <w:rFonts w:cs="Arial"/>
          <w:szCs w:val="20"/>
          <w:lang w:val="en-NZ"/>
        </w:rPr>
        <w:t>s with a</w:t>
      </w:r>
      <w:r w:rsidR="0094056C" w:rsidRPr="00086021">
        <w:rPr>
          <w:rFonts w:cs="Arial"/>
          <w:szCs w:val="20"/>
          <w:lang w:val="en-NZ"/>
        </w:rPr>
        <w:t>n</w:t>
      </w:r>
      <w:r w:rsidR="00F64F30" w:rsidRPr="00086021">
        <w:rPr>
          <w:rFonts w:cs="Arial"/>
          <w:szCs w:val="20"/>
          <w:lang w:val="en-NZ"/>
        </w:rPr>
        <w:t xml:space="preserve"> </w:t>
      </w:r>
      <w:r w:rsidRPr="00086021">
        <w:rPr>
          <w:rFonts w:cs="Arial"/>
          <w:szCs w:val="20"/>
          <w:lang w:val="en-NZ"/>
        </w:rPr>
        <w:t>ATNZ</w:t>
      </w:r>
      <w:r w:rsidR="00F64F30" w:rsidRPr="00086021">
        <w:rPr>
          <w:rFonts w:cs="Arial"/>
          <w:szCs w:val="20"/>
          <w:lang w:val="en-NZ"/>
        </w:rPr>
        <w:t xml:space="preserve"> bad debt history may be excluded from re-enrolling</w:t>
      </w:r>
      <w:r w:rsidR="008516A8" w:rsidRPr="00086021">
        <w:rPr>
          <w:rFonts w:cs="Arial"/>
          <w:szCs w:val="20"/>
          <w:lang w:val="en-NZ"/>
        </w:rPr>
        <w:t xml:space="preserve"> </w:t>
      </w:r>
      <w:r w:rsidR="00001C0B" w:rsidRPr="00086021">
        <w:rPr>
          <w:rFonts w:cs="Arial"/>
          <w:szCs w:val="20"/>
          <w:lang w:val="en-NZ"/>
        </w:rPr>
        <w:t xml:space="preserve">at </w:t>
      </w:r>
      <w:r w:rsidRPr="00086021">
        <w:rPr>
          <w:rFonts w:cs="Arial"/>
          <w:szCs w:val="20"/>
          <w:lang w:val="en-NZ"/>
        </w:rPr>
        <w:t>ATNZ</w:t>
      </w:r>
      <w:r w:rsidR="00001C0B" w:rsidRPr="00086021">
        <w:rPr>
          <w:rFonts w:cs="Arial"/>
          <w:szCs w:val="20"/>
          <w:lang w:val="en-NZ"/>
        </w:rPr>
        <w:t xml:space="preserve"> </w:t>
      </w:r>
      <w:r w:rsidR="00007CD8" w:rsidRPr="00086021">
        <w:rPr>
          <w:rFonts w:cs="Arial"/>
          <w:szCs w:val="20"/>
          <w:lang w:val="en-NZ"/>
        </w:rPr>
        <w:t>(see</w:t>
      </w:r>
      <w:r w:rsidR="008516A8" w:rsidRPr="00086021">
        <w:rPr>
          <w:rFonts w:cs="Arial"/>
          <w:szCs w:val="20"/>
          <w:lang w:val="en-NZ"/>
        </w:rPr>
        <w:t xml:space="preserve"> section </w:t>
      </w:r>
      <w:r w:rsidR="005074FD">
        <w:rPr>
          <w:rFonts w:cs="Arial"/>
          <w:szCs w:val="20"/>
          <w:lang w:val="en-NZ"/>
        </w:rPr>
        <w:t>3</w:t>
      </w:r>
      <w:r w:rsidR="008516A8" w:rsidRPr="00086021">
        <w:rPr>
          <w:rFonts w:cs="Arial"/>
          <w:szCs w:val="20"/>
          <w:lang w:val="en-NZ"/>
        </w:rPr>
        <w:t>.8.1</w:t>
      </w:r>
      <w:r w:rsidR="00007CD8" w:rsidRPr="00086021">
        <w:rPr>
          <w:rFonts w:cs="Arial"/>
          <w:szCs w:val="20"/>
          <w:lang w:val="en-NZ"/>
        </w:rPr>
        <w:t>)</w:t>
      </w:r>
      <w:r w:rsidR="00F64F30" w:rsidRPr="00086021">
        <w:rPr>
          <w:rFonts w:cs="Arial"/>
          <w:szCs w:val="20"/>
          <w:lang w:val="en-NZ"/>
        </w:rPr>
        <w:t xml:space="preserve">. </w:t>
      </w:r>
      <w:r w:rsidR="00E620DE" w:rsidRPr="00086021">
        <w:rPr>
          <w:rFonts w:cs="Arial"/>
          <w:szCs w:val="20"/>
          <w:lang w:val="en-NZ"/>
        </w:rPr>
        <w:t xml:space="preserve"> </w:t>
      </w:r>
      <w:r w:rsidRPr="00086021">
        <w:rPr>
          <w:rFonts w:cs="Arial"/>
          <w:szCs w:val="20"/>
          <w:lang w:val="en-NZ"/>
        </w:rPr>
        <w:t>Learner</w:t>
      </w:r>
      <w:r w:rsidR="00F64F30" w:rsidRPr="00086021">
        <w:rPr>
          <w:rFonts w:cs="Arial"/>
          <w:szCs w:val="20"/>
          <w:lang w:val="en-NZ"/>
        </w:rPr>
        <w:t xml:space="preserve">s with </w:t>
      </w:r>
      <w:r w:rsidR="003C55FF" w:rsidRPr="00086021">
        <w:rPr>
          <w:rFonts w:cs="Arial"/>
          <w:szCs w:val="20"/>
          <w:lang w:val="en-NZ"/>
        </w:rPr>
        <w:t xml:space="preserve">a </w:t>
      </w:r>
      <w:r w:rsidR="00F64F30" w:rsidRPr="00086021">
        <w:rPr>
          <w:rFonts w:cs="Arial"/>
          <w:szCs w:val="20"/>
          <w:lang w:val="en-NZ"/>
        </w:rPr>
        <w:t xml:space="preserve">company </w:t>
      </w:r>
      <w:r w:rsidR="00D12549" w:rsidRPr="00086021">
        <w:rPr>
          <w:rFonts w:cs="Arial"/>
          <w:szCs w:val="20"/>
          <w:lang w:val="en-NZ"/>
        </w:rPr>
        <w:t>or other third</w:t>
      </w:r>
      <w:r w:rsidR="00001C0B" w:rsidRPr="00086021">
        <w:rPr>
          <w:rFonts w:cs="Arial"/>
          <w:szCs w:val="20"/>
          <w:lang w:val="en-NZ"/>
        </w:rPr>
        <w:t>-</w:t>
      </w:r>
      <w:r w:rsidR="00D12549" w:rsidRPr="00086021">
        <w:rPr>
          <w:rFonts w:cs="Arial"/>
          <w:szCs w:val="20"/>
          <w:lang w:val="en-NZ"/>
        </w:rPr>
        <w:t xml:space="preserve">party </w:t>
      </w:r>
      <w:r w:rsidR="00F64F30" w:rsidRPr="00086021">
        <w:rPr>
          <w:rFonts w:cs="Arial"/>
          <w:szCs w:val="20"/>
          <w:lang w:val="en-NZ"/>
        </w:rPr>
        <w:t>bad debt may re-enrol if they are paying the</w:t>
      </w:r>
      <w:r w:rsidR="00FB7AF5" w:rsidRPr="00086021">
        <w:rPr>
          <w:rFonts w:cs="Arial"/>
          <w:szCs w:val="20"/>
          <w:lang w:val="en-NZ"/>
        </w:rPr>
        <w:t>ir</w:t>
      </w:r>
      <w:r w:rsidR="00F64F30" w:rsidRPr="00086021">
        <w:rPr>
          <w:rFonts w:cs="Arial"/>
          <w:szCs w:val="20"/>
          <w:lang w:val="en-NZ"/>
        </w:rPr>
        <w:t xml:space="preserve"> fees themselves or through a </w:t>
      </w:r>
      <w:r w:rsidRPr="00086021">
        <w:rPr>
          <w:rFonts w:cs="Arial"/>
          <w:szCs w:val="20"/>
          <w:lang w:val="en-NZ"/>
        </w:rPr>
        <w:t>learner</w:t>
      </w:r>
      <w:r w:rsidR="00F64F30" w:rsidRPr="00086021">
        <w:rPr>
          <w:rFonts w:cs="Arial"/>
          <w:szCs w:val="20"/>
          <w:lang w:val="en-NZ"/>
        </w:rPr>
        <w:t xml:space="preserve"> loan</w:t>
      </w:r>
      <w:r w:rsidR="00880D60" w:rsidRPr="00086021">
        <w:rPr>
          <w:rFonts w:cs="Arial"/>
          <w:szCs w:val="20"/>
          <w:lang w:val="en-NZ"/>
        </w:rPr>
        <w:t xml:space="preserve"> or other-third party</w:t>
      </w:r>
      <w:r w:rsidR="00F64F30" w:rsidRPr="00086021">
        <w:rPr>
          <w:rFonts w:cs="Arial"/>
          <w:szCs w:val="20"/>
          <w:lang w:val="en-NZ"/>
        </w:rPr>
        <w:t xml:space="preserve">. </w:t>
      </w:r>
      <w:r w:rsidR="00007CD8" w:rsidRPr="00086021">
        <w:rPr>
          <w:rFonts w:cs="Arial"/>
          <w:szCs w:val="20"/>
          <w:lang w:val="en-NZ"/>
        </w:rPr>
        <w:t xml:space="preserve"> </w:t>
      </w:r>
      <w:r w:rsidRPr="00086021">
        <w:rPr>
          <w:rFonts w:cs="Arial"/>
          <w:szCs w:val="20"/>
          <w:lang w:val="en-NZ"/>
        </w:rPr>
        <w:t>Learner</w:t>
      </w:r>
      <w:r w:rsidR="00F64F30" w:rsidRPr="00086021">
        <w:rPr>
          <w:rFonts w:cs="Arial"/>
          <w:szCs w:val="20"/>
          <w:lang w:val="en-NZ"/>
        </w:rPr>
        <w:t xml:space="preserve">s </w:t>
      </w:r>
      <w:r w:rsidR="00F64F30" w:rsidRPr="00086021">
        <w:rPr>
          <w:rFonts w:cs="Arial"/>
          <w:szCs w:val="20"/>
          <w:lang w:val="en-NZ"/>
        </w:rPr>
        <w:lastRenderedPageBreak/>
        <w:t>cannot enrol or re-enrol using a company</w:t>
      </w:r>
      <w:r w:rsidR="00D12549" w:rsidRPr="00086021">
        <w:rPr>
          <w:rFonts w:cs="Arial"/>
          <w:szCs w:val="20"/>
          <w:lang w:val="en-NZ"/>
        </w:rPr>
        <w:t xml:space="preserve"> or other third</w:t>
      </w:r>
      <w:r w:rsidR="00AA39F6" w:rsidRPr="00086021">
        <w:rPr>
          <w:rFonts w:cs="Arial"/>
          <w:szCs w:val="20"/>
          <w:lang w:val="en-NZ"/>
        </w:rPr>
        <w:t>-</w:t>
      </w:r>
      <w:r w:rsidR="00D12549" w:rsidRPr="00086021">
        <w:rPr>
          <w:rFonts w:cs="Arial"/>
          <w:szCs w:val="20"/>
          <w:lang w:val="en-NZ"/>
        </w:rPr>
        <w:t>party</w:t>
      </w:r>
      <w:r w:rsidR="00F64F30" w:rsidRPr="00086021">
        <w:rPr>
          <w:rFonts w:cs="Arial"/>
          <w:szCs w:val="20"/>
          <w:lang w:val="en-NZ"/>
        </w:rPr>
        <w:t xml:space="preserve"> invoice for payment where the company</w:t>
      </w:r>
      <w:r w:rsidR="00D12549" w:rsidRPr="00086021">
        <w:rPr>
          <w:rFonts w:cs="Arial"/>
          <w:szCs w:val="20"/>
          <w:lang w:val="en-NZ"/>
        </w:rPr>
        <w:t xml:space="preserve"> or third</w:t>
      </w:r>
      <w:r w:rsidR="00AA39F6" w:rsidRPr="00086021">
        <w:rPr>
          <w:rFonts w:cs="Arial"/>
          <w:szCs w:val="20"/>
          <w:lang w:val="en-NZ"/>
        </w:rPr>
        <w:t>-</w:t>
      </w:r>
      <w:r w:rsidR="00D12549" w:rsidRPr="00086021">
        <w:rPr>
          <w:rFonts w:cs="Arial"/>
          <w:szCs w:val="20"/>
          <w:lang w:val="en-NZ"/>
        </w:rPr>
        <w:t>party</w:t>
      </w:r>
      <w:r w:rsidR="00F64F30" w:rsidRPr="00086021">
        <w:rPr>
          <w:rFonts w:cs="Arial"/>
          <w:szCs w:val="20"/>
          <w:lang w:val="en-NZ"/>
        </w:rPr>
        <w:t xml:space="preserve"> has a </w:t>
      </w:r>
      <w:r w:rsidR="00D12549" w:rsidRPr="00086021">
        <w:rPr>
          <w:rFonts w:cs="Arial"/>
          <w:szCs w:val="20"/>
          <w:lang w:val="en-NZ"/>
        </w:rPr>
        <w:t xml:space="preserve">bad </w:t>
      </w:r>
      <w:r w:rsidR="00F64F30" w:rsidRPr="00086021">
        <w:rPr>
          <w:rFonts w:cs="Arial"/>
          <w:szCs w:val="20"/>
          <w:lang w:val="en-NZ"/>
        </w:rPr>
        <w:t>debt.</w:t>
      </w:r>
    </w:p>
    <w:p w14:paraId="79DFA8F9" w14:textId="77777777" w:rsidR="00876D42" w:rsidRPr="00032FAF" w:rsidRDefault="00D72A1B" w:rsidP="00D942F7">
      <w:pPr>
        <w:pStyle w:val="Heading2No"/>
        <w:rPr>
          <w:rFonts w:cs="Arial"/>
          <w:szCs w:val="20"/>
          <w:lang w:val="en-NZ"/>
        </w:rPr>
      </w:pPr>
      <w:r w:rsidRPr="00032FAF">
        <w:rPr>
          <w:rFonts w:cs="Arial"/>
          <w:szCs w:val="20"/>
          <w:lang w:val="en-NZ"/>
        </w:rPr>
        <w:t>When enrolment becomes official</w:t>
      </w:r>
    </w:p>
    <w:p w14:paraId="146260E8" w14:textId="573D2DB2" w:rsidR="00D942F7" w:rsidRPr="003A4F4A" w:rsidRDefault="00893B2F" w:rsidP="2B83E68E">
      <w:pPr>
        <w:pStyle w:val="BlockNumber"/>
        <w:ind w:left="1587" w:hanging="873"/>
        <w:rPr>
          <w:rFonts w:cs="Arial"/>
          <w:lang w:val="en-NZ"/>
        </w:rPr>
      </w:pPr>
      <w:r w:rsidRPr="003A4F4A">
        <w:rPr>
          <w:rFonts w:cs="Arial"/>
          <w:lang w:val="en-NZ"/>
        </w:rPr>
        <w:t>ATNZ</w:t>
      </w:r>
      <w:r w:rsidR="00D72A1B" w:rsidRPr="003A4F4A">
        <w:rPr>
          <w:rFonts w:cs="Arial"/>
          <w:lang w:val="en-NZ"/>
        </w:rPr>
        <w:t xml:space="preserve"> shall issue a</w:t>
      </w:r>
      <w:r w:rsidR="000B4987" w:rsidRPr="003A4F4A">
        <w:rPr>
          <w:rFonts w:cs="Arial"/>
          <w:lang w:val="en-NZ"/>
        </w:rPr>
        <w:t xml:space="preserve"> </w:t>
      </w:r>
      <w:r w:rsidR="00D1605B" w:rsidRPr="003A4F4A">
        <w:rPr>
          <w:rFonts w:cs="Arial"/>
          <w:lang w:val="en-NZ"/>
        </w:rPr>
        <w:t xml:space="preserve">Training Agreement, Enrolment </w:t>
      </w:r>
      <w:proofErr w:type="gramStart"/>
      <w:r w:rsidR="00D1605B" w:rsidRPr="003A4F4A">
        <w:rPr>
          <w:rFonts w:cs="Arial"/>
          <w:lang w:val="en-NZ"/>
        </w:rPr>
        <w:t>Form</w:t>
      </w:r>
      <w:proofErr w:type="gramEnd"/>
      <w:r w:rsidR="00D1605B" w:rsidRPr="003A4F4A">
        <w:rPr>
          <w:rFonts w:cs="Arial"/>
          <w:lang w:val="en-NZ"/>
        </w:rPr>
        <w:t xml:space="preserve"> </w:t>
      </w:r>
      <w:r w:rsidR="00C42856" w:rsidRPr="003A4F4A">
        <w:rPr>
          <w:rFonts w:cs="Arial"/>
          <w:lang w:val="en-NZ"/>
        </w:rPr>
        <w:t xml:space="preserve">or a </w:t>
      </w:r>
      <w:r w:rsidR="000B4987" w:rsidRPr="003A4F4A">
        <w:rPr>
          <w:rFonts w:cs="Arial"/>
          <w:lang w:val="en-NZ"/>
        </w:rPr>
        <w:t>Letter of Off</w:t>
      </w:r>
      <w:r w:rsidR="006C5EEE" w:rsidRPr="003A4F4A">
        <w:rPr>
          <w:rFonts w:cs="Arial"/>
          <w:lang w:val="en-NZ"/>
        </w:rPr>
        <w:t xml:space="preserve">er </w:t>
      </w:r>
      <w:r w:rsidR="000B4987" w:rsidRPr="003A4F4A">
        <w:rPr>
          <w:rFonts w:cs="Arial"/>
          <w:lang w:val="en-NZ"/>
        </w:rPr>
        <w:t>with a statement of the fees associated with the intended enrolment</w:t>
      </w:r>
      <w:r w:rsidR="00394D8A" w:rsidRPr="003A4F4A">
        <w:rPr>
          <w:rFonts w:cs="Arial"/>
          <w:lang w:val="en-NZ"/>
        </w:rPr>
        <w:t xml:space="preserve"> to</w:t>
      </w:r>
      <w:r w:rsidR="00D72A1B" w:rsidRPr="003A4F4A">
        <w:rPr>
          <w:rFonts w:cs="Arial"/>
          <w:lang w:val="en-NZ"/>
        </w:rPr>
        <w:t xml:space="preserve"> all </w:t>
      </w:r>
      <w:r w:rsidRPr="003A4F4A">
        <w:rPr>
          <w:rFonts w:cs="Arial"/>
          <w:lang w:val="en-NZ"/>
        </w:rPr>
        <w:t>learner</w:t>
      </w:r>
      <w:r w:rsidR="00D72A1B" w:rsidRPr="003A4F4A">
        <w:rPr>
          <w:rFonts w:cs="Arial"/>
          <w:lang w:val="en-NZ"/>
        </w:rPr>
        <w:t xml:space="preserve">s who </w:t>
      </w:r>
      <w:r w:rsidR="000B4987" w:rsidRPr="003A4F4A">
        <w:rPr>
          <w:rFonts w:cs="Arial"/>
          <w:lang w:val="en-NZ"/>
        </w:rPr>
        <w:t>seek to be</w:t>
      </w:r>
      <w:r w:rsidR="00D72A1B" w:rsidRPr="003A4F4A">
        <w:rPr>
          <w:rFonts w:cs="Arial"/>
          <w:lang w:val="en-NZ"/>
        </w:rPr>
        <w:t xml:space="preserve"> </w:t>
      </w:r>
      <w:r w:rsidR="00932839" w:rsidRPr="003A4F4A">
        <w:rPr>
          <w:rFonts w:cs="Arial"/>
          <w:lang w:val="en-NZ"/>
        </w:rPr>
        <w:t xml:space="preserve">enrolled </w:t>
      </w:r>
      <w:r w:rsidR="00015322" w:rsidRPr="003A4F4A">
        <w:rPr>
          <w:rFonts w:cs="Arial"/>
          <w:lang w:val="en-NZ"/>
        </w:rPr>
        <w:t xml:space="preserve">at </w:t>
      </w:r>
      <w:r w:rsidRPr="003A4F4A">
        <w:rPr>
          <w:rFonts w:cs="Arial"/>
          <w:lang w:val="en-NZ"/>
        </w:rPr>
        <w:t>ATNZ</w:t>
      </w:r>
      <w:r w:rsidR="00F43E44" w:rsidRPr="003A4F4A">
        <w:rPr>
          <w:rFonts w:cs="Arial"/>
          <w:lang w:val="en-NZ"/>
        </w:rPr>
        <w:t xml:space="preserve"> depending on the nature of the programme</w:t>
      </w:r>
      <w:r w:rsidR="00D72A1B" w:rsidRPr="003A4F4A">
        <w:rPr>
          <w:rFonts w:cs="Arial"/>
          <w:lang w:val="en-NZ"/>
        </w:rPr>
        <w:t xml:space="preserve">. </w:t>
      </w:r>
      <w:r w:rsidR="00C42856" w:rsidRPr="003A4F4A">
        <w:rPr>
          <w:rFonts w:cs="Arial"/>
          <w:lang w:val="en-NZ"/>
        </w:rPr>
        <w:t xml:space="preserve">Any one of these documents </w:t>
      </w:r>
      <w:r w:rsidR="00D72A1B" w:rsidRPr="003A4F4A">
        <w:rPr>
          <w:rFonts w:cs="Arial"/>
          <w:lang w:val="en-NZ"/>
        </w:rPr>
        <w:t>is deemed to be an enrolment offer.</w:t>
      </w:r>
    </w:p>
    <w:p w14:paraId="1D2C4EEB" w14:textId="6EB5CCBF" w:rsidR="00736967" w:rsidRPr="0003653F" w:rsidRDefault="00893B2F" w:rsidP="003C7754">
      <w:pPr>
        <w:pStyle w:val="BlockNumber"/>
        <w:ind w:left="1587" w:hanging="873"/>
        <w:rPr>
          <w:rFonts w:cs="Arial"/>
          <w:szCs w:val="20"/>
          <w:lang w:val="en-NZ"/>
        </w:rPr>
      </w:pPr>
      <w:r>
        <w:rPr>
          <w:rFonts w:cs="Arial"/>
          <w:szCs w:val="20"/>
          <w:lang w:val="en-NZ"/>
        </w:rPr>
        <w:t>Learner</w:t>
      </w:r>
      <w:r w:rsidR="00D72A1B" w:rsidRPr="0003653F">
        <w:rPr>
          <w:rFonts w:cs="Arial"/>
          <w:szCs w:val="20"/>
          <w:lang w:val="en-NZ"/>
        </w:rPr>
        <w:t xml:space="preserve">s are deemed to be enrolled </w:t>
      </w:r>
      <w:r w:rsidR="005F478E" w:rsidRPr="0003653F">
        <w:rPr>
          <w:rFonts w:cs="Arial"/>
          <w:szCs w:val="20"/>
          <w:lang w:val="en-NZ"/>
        </w:rPr>
        <w:t xml:space="preserve">in </w:t>
      </w:r>
      <w:r w:rsidR="00D72A1B" w:rsidRPr="0003653F">
        <w:rPr>
          <w:rFonts w:cs="Arial"/>
          <w:szCs w:val="20"/>
          <w:lang w:val="en-NZ"/>
        </w:rPr>
        <w:t xml:space="preserve">a </w:t>
      </w:r>
      <w:r w:rsidR="00BB701D" w:rsidRPr="0003653F">
        <w:rPr>
          <w:rFonts w:cs="Arial"/>
          <w:szCs w:val="20"/>
          <w:lang w:val="en-NZ"/>
        </w:rPr>
        <w:t xml:space="preserve">programme or </w:t>
      </w:r>
      <w:r w:rsidR="00D72A1B" w:rsidRPr="0003653F">
        <w:rPr>
          <w:rFonts w:cs="Arial"/>
          <w:szCs w:val="20"/>
          <w:lang w:val="en-NZ"/>
        </w:rPr>
        <w:t>course when:</w:t>
      </w:r>
    </w:p>
    <w:p w14:paraId="47DC4E69" w14:textId="77777777" w:rsidR="00736967" w:rsidRPr="0003653F" w:rsidRDefault="00D72A1B" w:rsidP="00D942F7">
      <w:pPr>
        <w:pStyle w:val="Bullet1"/>
        <w:tabs>
          <w:tab w:val="clear" w:pos="1494"/>
        </w:tabs>
        <w:spacing w:after="40"/>
        <w:ind w:left="2127" w:hanging="426"/>
        <w:rPr>
          <w:rFonts w:cs="Arial"/>
          <w:lang w:val="en-NZ"/>
        </w:rPr>
      </w:pPr>
      <w:r w:rsidRPr="0003653F">
        <w:rPr>
          <w:rFonts w:cs="Arial"/>
          <w:lang w:val="en-NZ"/>
        </w:rPr>
        <w:t xml:space="preserve">The </w:t>
      </w:r>
      <w:r w:rsidR="00015322" w:rsidRPr="0003653F">
        <w:rPr>
          <w:rFonts w:cs="Arial"/>
        </w:rPr>
        <w:t xml:space="preserve">relevant form/s for admission, registration and enrolment have </w:t>
      </w:r>
      <w:r w:rsidRPr="0003653F">
        <w:rPr>
          <w:rFonts w:cs="Arial"/>
          <w:lang w:val="en-NZ"/>
        </w:rPr>
        <w:t>been:</w:t>
      </w:r>
    </w:p>
    <w:p w14:paraId="69B8DF18" w14:textId="77777777" w:rsidR="00736967" w:rsidRPr="0003653F" w:rsidRDefault="00D72A1B" w:rsidP="00566D87">
      <w:pPr>
        <w:pStyle w:val="Bullet1"/>
        <w:numPr>
          <w:ilvl w:val="0"/>
          <w:numId w:val="6"/>
        </w:numPr>
        <w:spacing w:after="40"/>
        <w:rPr>
          <w:rFonts w:cs="Arial"/>
          <w:lang w:val="en-NZ"/>
        </w:rPr>
      </w:pPr>
      <w:r w:rsidRPr="0003653F">
        <w:rPr>
          <w:rFonts w:cs="Arial"/>
          <w:lang w:val="en-NZ"/>
        </w:rPr>
        <w:t>Completed and signed</w:t>
      </w:r>
      <w:r w:rsidR="006615F6" w:rsidRPr="0003653F">
        <w:rPr>
          <w:rStyle w:val="FootnoteReference"/>
          <w:rFonts w:cs="Arial"/>
          <w:lang w:val="en-NZ"/>
        </w:rPr>
        <w:footnoteReference w:id="2"/>
      </w:r>
      <w:r w:rsidR="006615F6" w:rsidRPr="0003653F">
        <w:rPr>
          <w:rFonts w:cs="Arial"/>
          <w:lang w:val="en-NZ"/>
        </w:rPr>
        <w:t xml:space="preserve"> </w:t>
      </w:r>
      <w:r w:rsidRPr="0003653F">
        <w:rPr>
          <w:rFonts w:cs="Arial"/>
          <w:lang w:val="en-NZ"/>
        </w:rPr>
        <w:t xml:space="preserve">by </w:t>
      </w:r>
      <w:proofErr w:type="gramStart"/>
      <w:r w:rsidRPr="0003653F">
        <w:rPr>
          <w:rFonts w:cs="Arial"/>
          <w:lang w:val="en-NZ"/>
        </w:rPr>
        <w:t>them;</w:t>
      </w:r>
      <w:proofErr w:type="gramEnd"/>
      <w:r w:rsidRPr="0003653F">
        <w:rPr>
          <w:rFonts w:cs="Arial"/>
          <w:lang w:val="en-NZ"/>
        </w:rPr>
        <w:t xml:space="preserve"> </w:t>
      </w:r>
    </w:p>
    <w:p w14:paraId="74538A76" w14:textId="4A74F7CD" w:rsidR="00736967" w:rsidRDefault="006F46B2" w:rsidP="00566D87">
      <w:pPr>
        <w:pStyle w:val="Bullet1"/>
        <w:numPr>
          <w:ilvl w:val="0"/>
          <w:numId w:val="6"/>
        </w:numPr>
        <w:spacing w:after="40"/>
        <w:rPr>
          <w:rFonts w:cs="Arial"/>
          <w:lang w:val="en-NZ"/>
        </w:rPr>
      </w:pPr>
      <w:r w:rsidRPr="0003653F">
        <w:rPr>
          <w:rFonts w:cs="Arial"/>
          <w:lang w:val="en-NZ"/>
        </w:rPr>
        <w:t>Submitted</w:t>
      </w:r>
      <w:r w:rsidR="00D72A1B" w:rsidRPr="0003653F">
        <w:rPr>
          <w:rFonts w:cs="Arial"/>
          <w:lang w:val="en-NZ"/>
        </w:rPr>
        <w:t xml:space="preserve"> </w:t>
      </w:r>
      <w:r w:rsidR="00E42D96">
        <w:rPr>
          <w:rFonts w:cs="Arial"/>
          <w:lang w:val="en-NZ"/>
        </w:rPr>
        <w:t>online</w:t>
      </w:r>
      <w:r w:rsidR="00D72A1B" w:rsidRPr="0003653F">
        <w:rPr>
          <w:rFonts w:cs="Arial"/>
          <w:lang w:val="en-NZ"/>
        </w:rPr>
        <w:t>; and</w:t>
      </w:r>
    </w:p>
    <w:p w14:paraId="358B38F3" w14:textId="77777777" w:rsidR="00FD48C8" w:rsidRPr="0003653F" w:rsidRDefault="00FD48C8" w:rsidP="00FD48C8">
      <w:pPr>
        <w:pStyle w:val="Bullet1"/>
        <w:numPr>
          <w:ilvl w:val="0"/>
          <w:numId w:val="0"/>
        </w:numPr>
        <w:spacing w:after="40"/>
        <w:ind w:left="2520"/>
        <w:rPr>
          <w:rFonts w:cs="Arial"/>
          <w:lang w:val="en-NZ"/>
        </w:rPr>
      </w:pPr>
    </w:p>
    <w:p w14:paraId="43F3BC8A" w14:textId="77777777" w:rsidR="00736967" w:rsidRPr="0003653F" w:rsidRDefault="00D72A1B" w:rsidP="00D942F7">
      <w:pPr>
        <w:pStyle w:val="Bullet1"/>
        <w:tabs>
          <w:tab w:val="clear" w:pos="1494"/>
        </w:tabs>
        <w:spacing w:after="40"/>
        <w:ind w:left="2127" w:hanging="426"/>
        <w:rPr>
          <w:rFonts w:cs="Arial"/>
          <w:lang w:val="en-NZ"/>
        </w:rPr>
      </w:pPr>
      <w:r w:rsidRPr="0003653F">
        <w:rPr>
          <w:rFonts w:cs="Arial"/>
          <w:lang w:val="en-NZ"/>
        </w:rPr>
        <w:t>Either:</w:t>
      </w:r>
    </w:p>
    <w:p w14:paraId="7894D4B8" w14:textId="77777777" w:rsidR="00736967" w:rsidRPr="0003653F" w:rsidRDefault="00D72A1B" w:rsidP="00566D87">
      <w:pPr>
        <w:pStyle w:val="Bullet1"/>
        <w:numPr>
          <w:ilvl w:val="0"/>
          <w:numId w:val="6"/>
        </w:numPr>
        <w:spacing w:after="40"/>
        <w:rPr>
          <w:rFonts w:cs="Arial"/>
          <w:lang w:val="en-NZ"/>
        </w:rPr>
      </w:pPr>
      <w:r w:rsidRPr="0003653F">
        <w:rPr>
          <w:rFonts w:cs="Arial"/>
          <w:lang w:val="en-NZ"/>
        </w:rPr>
        <w:t>They have paid their fees, or have made provision for their fees to be paid; or</w:t>
      </w:r>
    </w:p>
    <w:p w14:paraId="00B187D7" w14:textId="6C6D7191" w:rsidR="00032E67" w:rsidRPr="0003653F" w:rsidRDefault="00D72A1B" w:rsidP="00566D87">
      <w:pPr>
        <w:pStyle w:val="Bullet1"/>
        <w:numPr>
          <w:ilvl w:val="0"/>
          <w:numId w:val="6"/>
        </w:numPr>
        <w:rPr>
          <w:rFonts w:cs="Arial"/>
        </w:rPr>
      </w:pPr>
      <w:r w:rsidRPr="0003653F">
        <w:rPr>
          <w:rFonts w:cs="Arial"/>
          <w:lang w:val="en-NZ"/>
        </w:rPr>
        <w:t xml:space="preserve">They have not paid their fees but are </w:t>
      </w:r>
      <w:r w:rsidR="0098285E">
        <w:rPr>
          <w:rFonts w:cs="Arial"/>
          <w:lang w:val="en-NZ"/>
        </w:rPr>
        <w:t xml:space="preserve">engaging in learning </w:t>
      </w:r>
      <w:r w:rsidR="00524A76" w:rsidRPr="0003653F">
        <w:rPr>
          <w:rFonts w:cs="Arial"/>
          <w:lang w:val="en-NZ"/>
        </w:rPr>
        <w:t xml:space="preserve">after the period for the full </w:t>
      </w:r>
      <w:r w:rsidRPr="0003653F">
        <w:rPr>
          <w:rFonts w:cs="Arial"/>
          <w:lang w:val="en-NZ"/>
        </w:rPr>
        <w:t xml:space="preserve">refund of any fees paid has lapsed and has been invoiced, and </w:t>
      </w:r>
      <w:r w:rsidR="00893B2F">
        <w:rPr>
          <w:rFonts w:cs="Arial"/>
          <w:lang w:val="en-NZ"/>
        </w:rPr>
        <w:t>ATNZ</w:t>
      </w:r>
      <w:r w:rsidRPr="0003653F">
        <w:rPr>
          <w:rFonts w:cs="Arial"/>
          <w:lang w:val="en-NZ"/>
        </w:rPr>
        <w:t xml:space="preserve"> </w:t>
      </w:r>
      <w:r w:rsidR="001D6F8F" w:rsidRPr="0003653F">
        <w:rPr>
          <w:rFonts w:cs="Arial"/>
          <w:lang w:val="en-NZ"/>
        </w:rPr>
        <w:t>is</w:t>
      </w:r>
      <w:r w:rsidRPr="0003653F">
        <w:rPr>
          <w:rFonts w:cs="Arial"/>
          <w:lang w:val="en-NZ"/>
        </w:rPr>
        <w:t xml:space="preserve"> </w:t>
      </w:r>
      <w:r w:rsidR="00394D8A">
        <w:rPr>
          <w:rFonts w:cs="Arial"/>
          <w:lang w:val="en-NZ"/>
        </w:rPr>
        <w:t xml:space="preserve">intending to </w:t>
      </w:r>
      <w:r w:rsidRPr="0003653F">
        <w:rPr>
          <w:rFonts w:cs="Arial"/>
          <w:lang w:val="en-NZ"/>
        </w:rPr>
        <w:t>enforc</w:t>
      </w:r>
      <w:r w:rsidR="00394D8A">
        <w:rPr>
          <w:rFonts w:cs="Arial"/>
          <w:lang w:val="en-NZ"/>
        </w:rPr>
        <w:t>e</w:t>
      </w:r>
      <w:r w:rsidRPr="0003653F">
        <w:rPr>
          <w:rFonts w:cs="Arial"/>
          <w:lang w:val="en-NZ"/>
        </w:rPr>
        <w:t xml:space="preserve"> the debt</w:t>
      </w:r>
      <w:r w:rsidR="00D12B47" w:rsidRPr="0003653F">
        <w:rPr>
          <w:rFonts w:cs="Arial"/>
          <w:lang w:val="en-NZ"/>
        </w:rPr>
        <w:t>.</w:t>
      </w:r>
    </w:p>
    <w:p w14:paraId="35B4F349" w14:textId="141901F9" w:rsidR="00876D42" w:rsidRPr="00A74C9A" w:rsidRDefault="00D72A1B" w:rsidP="00D942F7">
      <w:pPr>
        <w:pStyle w:val="Heading2No"/>
        <w:spacing w:before="320"/>
        <w:rPr>
          <w:rFonts w:cs="Arial"/>
          <w:szCs w:val="20"/>
          <w:lang w:val="en-NZ"/>
        </w:rPr>
      </w:pPr>
      <w:r w:rsidRPr="00A74C9A">
        <w:rPr>
          <w:rFonts w:cs="Arial"/>
          <w:szCs w:val="20"/>
          <w:lang w:val="en-NZ"/>
        </w:rPr>
        <w:t xml:space="preserve">Enrolment details for specific </w:t>
      </w:r>
      <w:r w:rsidR="00893B2F" w:rsidRPr="00A74C9A">
        <w:rPr>
          <w:rFonts w:cs="Arial"/>
          <w:szCs w:val="20"/>
          <w:lang w:val="en-NZ"/>
        </w:rPr>
        <w:t>learner</w:t>
      </w:r>
      <w:r w:rsidRPr="00A74C9A">
        <w:rPr>
          <w:rFonts w:cs="Arial"/>
          <w:szCs w:val="20"/>
          <w:lang w:val="en-NZ"/>
        </w:rPr>
        <w:t xml:space="preserve"> groups</w:t>
      </w:r>
    </w:p>
    <w:p w14:paraId="79E6097D" w14:textId="6457CC10" w:rsidR="00FC2A23" w:rsidRPr="00A74C9A" w:rsidRDefault="00FC2A23" w:rsidP="00FC2A23">
      <w:pPr>
        <w:pStyle w:val="BlockNumber"/>
        <w:numPr>
          <w:ilvl w:val="0"/>
          <w:numId w:val="0"/>
        </w:numPr>
        <w:ind w:left="1587"/>
        <w:rPr>
          <w:rFonts w:cs="Arial"/>
          <w:szCs w:val="20"/>
          <w:lang w:val="en-NZ"/>
        </w:rPr>
      </w:pPr>
      <w:r w:rsidRPr="00A74C9A">
        <w:rPr>
          <w:rFonts w:cs="Arial"/>
          <w:szCs w:val="20"/>
          <w:lang w:val="en-NZ"/>
        </w:rPr>
        <w:t xml:space="preserve">The following table details enrolment details for specific </w:t>
      </w:r>
      <w:r w:rsidR="00893B2F" w:rsidRPr="00A74C9A">
        <w:rPr>
          <w:rFonts w:cs="Arial"/>
          <w:szCs w:val="20"/>
          <w:lang w:val="en-NZ"/>
        </w:rPr>
        <w:t>learner</w:t>
      </w:r>
      <w:r w:rsidRPr="00A74C9A">
        <w:rPr>
          <w:rFonts w:cs="Arial"/>
          <w:szCs w:val="20"/>
          <w:lang w:val="en-NZ"/>
        </w:rPr>
        <w:t xml:space="preserve"> groups:</w:t>
      </w:r>
    </w:p>
    <w:tbl>
      <w:tblPr>
        <w:tblStyle w:val="TableGrid"/>
        <w:tblW w:w="0" w:type="auto"/>
        <w:tblInd w:w="1668" w:type="dxa"/>
        <w:tblLook w:val="04A0" w:firstRow="1" w:lastRow="0" w:firstColumn="1" w:lastColumn="0" w:noHBand="0" w:noVBand="1"/>
      </w:tblPr>
      <w:tblGrid>
        <w:gridCol w:w="1817"/>
        <w:gridCol w:w="6132"/>
      </w:tblGrid>
      <w:tr w:rsidR="00FC2A23" w:rsidRPr="00A74C9A" w14:paraId="21DD961F" w14:textId="77777777" w:rsidTr="000B792B">
        <w:trPr>
          <w:tblHeader/>
        </w:trPr>
        <w:tc>
          <w:tcPr>
            <w:tcW w:w="1817" w:type="dxa"/>
            <w:shd w:val="clear" w:color="auto" w:fill="D9D9D9" w:themeFill="background1" w:themeFillShade="D9"/>
          </w:tcPr>
          <w:p w14:paraId="09070124" w14:textId="77777777" w:rsidR="00FC2A23" w:rsidRPr="00A74C9A" w:rsidRDefault="00FC2A23" w:rsidP="00377248">
            <w:pPr>
              <w:pStyle w:val="TableHeading"/>
              <w:rPr>
                <w:rFonts w:eastAsia="Calibri" w:cs="Arial"/>
                <w:lang w:val="en-NZ"/>
              </w:rPr>
            </w:pPr>
            <w:r w:rsidRPr="00A74C9A">
              <w:rPr>
                <w:rFonts w:cs="Arial"/>
                <w:lang w:val="en-NZ"/>
              </w:rPr>
              <w:t>Group</w:t>
            </w:r>
          </w:p>
        </w:tc>
        <w:tc>
          <w:tcPr>
            <w:tcW w:w="6132" w:type="dxa"/>
            <w:shd w:val="clear" w:color="auto" w:fill="D9D9D9" w:themeFill="background1" w:themeFillShade="D9"/>
          </w:tcPr>
          <w:p w14:paraId="6CC377F3" w14:textId="77777777" w:rsidR="00FC2A23" w:rsidRPr="00A74C9A" w:rsidRDefault="00FC2A23" w:rsidP="00377248">
            <w:pPr>
              <w:pStyle w:val="TableHeading"/>
              <w:rPr>
                <w:rFonts w:cs="Arial"/>
                <w:lang w:val="en-NZ"/>
              </w:rPr>
            </w:pPr>
            <w:r w:rsidRPr="00A74C9A">
              <w:rPr>
                <w:rFonts w:cs="Arial"/>
                <w:lang w:val="en-NZ"/>
              </w:rPr>
              <w:t>Enrolment details</w:t>
            </w:r>
          </w:p>
        </w:tc>
      </w:tr>
      <w:tr w:rsidR="00FC2A23" w:rsidRPr="00A74C9A" w14:paraId="787477D6" w14:textId="77777777" w:rsidTr="000B792B">
        <w:trPr>
          <w:cantSplit/>
        </w:trPr>
        <w:tc>
          <w:tcPr>
            <w:tcW w:w="1817" w:type="dxa"/>
          </w:tcPr>
          <w:p w14:paraId="7FF38319" w14:textId="6EDE42E8" w:rsidR="00FC2A23" w:rsidRPr="00A74C9A" w:rsidRDefault="00893B2F" w:rsidP="00377248">
            <w:pPr>
              <w:pStyle w:val="TableText"/>
              <w:rPr>
                <w:rFonts w:cs="Arial"/>
                <w:lang w:val="en-NZ"/>
              </w:rPr>
            </w:pPr>
            <w:r w:rsidRPr="00A74C9A">
              <w:rPr>
                <w:rFonts w:cs="Arial"/>
                <w:lang w:val="en-NZ"/>
              </w:rPr>
              <w:t>Learner</w:t>
            </w:r>
            <w:r w:rsidR="00FC2A23" w:rsidRPr="00A74C9A">
              <w:rPr>
                <w:rFonts w:cs="Arial"/>
                <w:lang w:val="en-NZ"/>
              </w:rPr>
              <w:t>s under 16 years</w:t>
            </w:r>
          </w:p>
          <w:p w14:paraId="3BF949C6" w14:textId="77777777" w:rsidR="00FC2A23" w:rsidRPr="00A74C9A" w:rsidRDefault="00FC2A23" w:rsidP="00377248">
            <w:pPr>
              <w:pStyle w:val="TableText"/>
              <w:rPr>
                <w:rFonts w:cs="Arial"/>
                <w:lang w:val="en-NZ"/>
              </w:rPr>
            </w:pPr>
          </w:p>
        </w:tc>
        <w:tc>
          <w:tcPr>
            <w:tcW w:w="6132" w:type="dxa"/>
          </w:tcPr>
          <w:p w14:paraId="658FF5C9" w14:textId="591F2515" w:rsidR="00FC2A23" w:rsidRPr="00A74C9A" w:rsidRDefault="00893B2F" w:rsidP="00377248">
            <w:pPr>
              <w:pStyle w:val="TableText"/>
              <w:rPr>
                <w:rFonts w:cs="Arial"/>
                <w:lang w:val="en-NZ"/>
              </w:rPr>
            </w:pPr>
            <w:r w:rsidRPr="00A74C9A">
              <w:rPr>
                <w:rFonts w:cs="Arial"/>
                <w:lang w:val="en-NZ"/>
              </w:rPr>
              <w:t>Learner</w:t>
            </w:r>
            <w:r w:rsidR="00FC2A23" w:rsidRPr="00A74C9A">
              <w:rPr>
                <w:rFonts w:cs="Arial"/>
                <w:lang w:val="en-NZ"/>
              </w:rPr>
              <w:t xml:space="preserve">s who are under 16 years of age </w:t>
            </w:r>
            <w:r w:rsidR="0078406E" w:rsidRPr="00A74C9A">
              <w:rPr>
                <w:rFonts w:cs="Arial"/>
                <w:lang w:val="en-NZ"/>
              </w:rPr>
              <w:t xml:space="preserve">on the course or programme start date </w:t>
            </w:r>
            <w:r w:rsidR="00FC2A23" w:rsidRPr="00A74C9A">
              <w:rPr>
                <w:rFonts w:cs="Arial"/>
                <w:lang w:val="en-NZ"/>
              </w:rPr>
              <w:t xml:space="preserve">and wish to study full-time at </w:t>
            </w:r>
            <w:r w:rsidRPr="00A74C9A">
              <w:rPr>
                <w:rFonts w:cs="Arial"/>
                <w:lang w:val="en-NZ"/>
              </w:rPr>
              <w:t>ATNZ</w:t>
            </w:r>
            <w:r w:rsidR="00FC2A23" w:rsidRPr="00A74C9A">
              <w:rPr>
                <w:rFonts w:cs="Arial"/>
                <w:lang w:val="en-NZ"/>
              </w:rPr>
              <w:t xml:space="preserve"> must provide a School Exemption Certificate from the Ministry of Education before they enrol. </w:t>
            </w:r>
          </w:p>
          <w:p w14:paraId="5ED51D73" w14:textId="77777777" w:rsidR="00FC2A23" w:rsidRPr="00A74C9A" w:rsidRDefault="00FC2A23" w:rsidP="00377248">
            <w:pPr>
              <w:pStyle w:val="TableText"/>
              <w:rPr>
                <w:rFonts w:cs="Arial"/>
                <w:lang w:val="en-NZ"/>
              </w:rPr>
            </w:pPr>
          </w:p>
          <w:p w14:paraId="30D7A12A" w14:textId="45F6852E" w:rsidR="00FC2A23" w:rsidRPr="00A74C9A" w:rsidRDefault="00893B2F" w:rsidP="00377248">
            <w:pPr>
              <w:pStyle w:val="TableText"/>
              <w:rPr>
                <w:rFonts w:cs="Arial"/>
                <w:lang w:val="en-NZ"/>
              </w:rPr>
            </w:pPr>
            <w:r w:rsidRPr="00A74C9A">
              <w:rPr>
                <w:rFonts w:cs="Arial"/>
                <w:lang w:val="en-NZ"/>
              </w:rPr>
              <w:t>Learner</w:t>
            </w:r>
            <w:r w:rsidR="00FC2A23" w:rsidRPr="00A74C9A">
              <w:rPr>
                <w:rFonts w:cs="Arial"/>
                <w:lang w:val="en-NZ"/>
              </w:rPr>
              <w:t xml:space="preserve">s who are under 16 years of age and wish to study part-time at </w:t>
            </w:r>
            <w:r w:rsidRPr="00A74C9A">
              <w:rPr>
                <w:rFonts w:cs="Arial"/>
                <w:lang w:val="en-NZ"/>
              </w:rPr>
              <w:t>ATNZ</w:t>
            </w:r>
            <w:r w:rsidR="00FC2A23" w:rsidRPr="00A74C9A">
              <w:rPr>
                <w:rFonts w:cs="Arial"/>
                <w:lang w:val="en-NZ"/>
              </w:rPr>
              <w:t xml:space="preserve"> while still at school must provide a letter from their school principal before they enrol confirming that:</w:t>
            </w:r>
          </w:p>
          <w:p w14:paraId="5B4EA0AC" w14:textId="77777777" w:rsidR="00FC2A23" w:rsidRPr="00A74C9A" w:rsidRDefault="00AD6FEA" w:rsidP="00566D87">
            <w:pPr>
              <w:pStyle w:val="TableBullet1"/>
              <w:numPr>
                <w:ilvl w:val="0"/>
                <w:numId w:val="19"/>
              </w:numPr>
              <w:rPr>
                <w:rFonts w:eastAsia="Calibri" w:cs="Arial"/>
                <w:color w:val="000000"/>
                <w:lang w:val="en-NZ"/>
              </w:rPr>
            </w:pPr>
            <w:r w:rsidRPr="00A74C9A">
              <w:rPr>
                <w:rFonts w:cs="Arial"/>
                <w:lang w:val="en-NZ"/>
              </w:rPr>
              <w:t>t</w:t>
            </w:r>
            <w:r w:rsidR="00FC2A23" w:rsidRPr="00A74C9A">
              <w:rPr>
                <w:rFonts w:cs="Arial"/>
                <w:lang w:val="en-NZ"/>
              </w:rPr>
              <w:t>hey are capable of undertaking tertiary study as well as their secondary school study; and</w:t>
            </w:r>
          </w:p>
          <w:p w14:paraId="154AFA63" w14:textId="1ADE7E7B" w:rsidR="0078406E" w:rsidRPr="00A74C9A" w:rsidRDefault="00AD6FEA" w:rsidP="00566D87">
            <w:pPr>
              <w:pStyle w:val="TableBullet1"/>
              <w:numPr>
                <w:ilvl w:val="0"/>
                <w:numId w:val="19"/>
              </w:numPr>
              <w:spacing w:after="120"/>
              <w:rPr>
                <w:rFonts w:cs="Arial"/>
                <w:lang w:val="en-NZ"/>
              </w:rPr>
            </w:pPr>
            <w:r w:rsidRPr="00A74C9A">
              <w:rPr>
                <w:rFonts w:cs="Arial"/>
                <w:lang w:val="en-NZ"/>
              </w:rPr>
              <w:t>t</w:t>
            </w:r>
            <w:r w:rsidR="00FC2A23" w:rsidRPr="00A74C9A">
              <w:rPr>
                <w:rFonts w:cs="Arial"/>
                <w:lang w:val="en-NZ"/>
              </w:rPr>
              <w:t xml:space="preserve">heir school principal has approved their attendance at </w:t>
            </w:r>
            <w:r w:rsidR="00893B2F" w:rsidRPr="00A74C9A">
              <w:rPr>
                <w:rFonts w:cs="Arial"/>
                <w:lang w:val="en-NZ"/>
              </w:rPr>
              <w:t>ATNZ</w:t>
            </w:r>
            <w:r w:rsidR="00FC2A23" w:rsidRPr="00A74C9A">
              <w:rPr>
                <w:rFonts w:cs="Arial"/>
                <w:lang w:val="en-NZ"/>
              </w:rPr>
              <w:t>.</w:t>
            </w:r>
          </w:p>
        </w:tc>
      </w:tr>
      <w:tr w:rsidR="00FC2A23" w:rsidRPr="00A74C9A" w14:paraId="4522AFB1" w14:textId="77777777" w:rsidTr="000B792B">
        <w:trPr>
          <w:cantSplit/>
        </w:trPr>
        <w:tc>
          <w:tcPr>
            <w:tcW w:w="1817" w:type="dxa"/>
          </w:tcPr>
          <w:p w14:paraId="27263EB6" w14:textId="70835A68" w:rsidR="00FC2A23" w:rsidRPr="00A74C9A" w:rsidRDefault="00893B2F" w:rsidP="00377248">
            <w:pPr>
              <w:pStyle w:val="TableText"/>
              <w:rPr>
                <w:rFonts w:cs="Arial"/>
                <w:lang w:val="en-NZ"/>
              </w:rPr>
            </w:pPr>
            <w:r w:rsidRPr="00A74C9A">
              <w:rPr>
                <w:rFonts w:cs="Arial"/>
                <w:lang w:val="en-NZ"/>
              </w:rPr>
              <w:t>Learner</w:t>
            </w:r>
            <w:r w:rsidR="00FC2A23" w:rsidRPr="00A74C9A">
              <w:rPr>
                <w:rFonts w:cs="Arial"/>
                <w:lang w:val="en-NZ"/>
              </w:rPr>
              <w:t>s who are still at School</w:t>
            </w:r>
          </w:p>
        </w:tc>
        <w:tc>
          <w:tcPr>
            <w:tcW w:w="6132" w:type="dxa"/>
          </w:tcPr>
          <w:p w14:paraId="01408A3D" w14:textId="53D15FCB" w:rsidR="00FC2A23" w:rsidRPr="00A74C9A" w:rsidRDefault="00893B2F" w:rsidP="00377248">
            <w:pPr>
              <w:pStyle w:val="TableText"/>
              <w:rPr>
                <w:rFonts w:cs="Arial"/>
                <w:lang w:val="en-NZ"/>
              </w:rPr>
            </w:pPr>
            <w:r w:rsidRPr="00A74C9A">
              <w:rPr>
                <w:rFonts w:cs="Arial"/>
                <w:lang w:val="en-NZ"/>
              </w:rPr>
              <w:t>Learner</w:t>
            </w:r>
            <w:r w:rsidR="00FC2A23" w:rsidRPr="00A74C9A">
              <w:rPr>
                <w:rFonts w:cs="Arial"/>
                <w:lang w:val="en-NZ"/>
              </w:rPr>
              <w:t xml:space="preserve">s who are still at school may not be enrolled in </w:t>
            </w:r>
            <w:r w:rsidR="0078406E" w:rsidRPr="00A74C9A">
              <w:rPr>
                <w:rFonts w:cs="Arial"/>
                <w:lang w:val="en-NZ"/>
              </w:rPr>
              <w:t xml:space="preserve">SAC or UFS </w:t>
            </w:r>
            <w:r w:rsidR="00FC2A23" w:rsidRPr="00A74C9A">
              <w:rPr>
                <w:rFonts w:cs="Arial"/>
                <w:lang w:val="en-NZ"/>
              </w:rPr>
              <w:t xml:space="preserve">funded </w:t>
            </w:r>
            <w:r w:rsidR="0078406E" w:rsidRPr="00A74C9A">
              <w:rPr>
                <w:rFonts w:cs="Arial"/>
                <w:lang w:val="en-NZ"/>
              </w:rPr>
              <w:t xml:space="preserve">programmes and </w:t>
            </w:r>
            <w:r w:rsidR="00FC2A23" w:rsidRPr="00A74C9A">
              <w:rPr>
                <w:rFonts w:cs="Arial"/>
                <w:lang w:val="en-NZ"/>
              </w:rPr>
              <w:t>courses that require them to be absent from school to complete their studies</w:t>
            </w:r>
            <w:r w:rsidR="0078406E" w:rsidRPr="00A74C9A">
              <w:rPr>
                <w:rFonts w:cs="Arial"/>
                <w:lang w:val="en-NZ"/>
              </w:rPr>
              <w:t>,</w:t>
            </w:r>
            <w:r w:rsidR="00AD6FEA" w:rsidRPr="00A74C9A">
              <w:rPr>
                <w:rFonts w:cs="Arial"/>
                <w:lang w:val="en-NZ"/>
              </w:rPr>
              <w:t xml:space="preserve"> except as part of a programme delivered in partnership with the school</w:t>
            </w:r>
            <w:r w:rsidR="00FC2A23" w:rsidRPr="00A74C9A">
              <w:rPr>
                <w:rFonts w:cs="Arial"/>
                <w:lang w:val="en-NZ"/>
              </w:rPr>
              <w:t xml:space="preserve">. </w:t>
            </w:r>
          </w:p>
          <w:p w14:paraId="2403E987" w14:textId="77777777" w:rsidR="00FC2A23" w:rsidRPr="00A74C9A" w:rsidDel="00C77394" w:rsidRDefault="00FC2A23" w:rsidP="00377248">
            <w:pPr>
              <w:pStyle w:val="TableText"/>
              <w:rPr>
                <w:rFonts w:cs="Arial"/>
                <w:lang w:val="en-NZ"/>
              </w:rPr>
            </w:pPr>
          </w:p>
        </w:tc>
      </w:tr>
      <w:tr w:rsidR="00FC2A23" w:rsidRPr="00A74C9A" w14:paraId="65647633" w14:textId="77777777" w:rsidTr="000B792B">
        <w:trPr>
          <w:cantSplit/>
        </w:trPr>
        <w:tc>
          <w:tcPr>
            <w:tcW w:w="1817" w:type="dxa"/>
          </w:tcPr>
          <w:p w14:paraId="5EBB01DD" w14:textId="1912C5F3" w:rsidR="00FC2A23" w:rsidRPr="00A74C9A" w:rsidRDefault="00893B2F" w:rsidP="00377248">
            <w:pPr>
              <w:pStyle w:val="TableText"/>
              <w:rPr>
                <w:rFonts w:cs="Arial"/>
                <w:lang w:val="en-NZ"/>
              </w:rPr>
            </w:pPr>
            <w:r w:rsidRPr="00A74C9A">
              <w:rPr>
                <w:rFonts w:cs="Arial"/>
                <w:lang w:val="en-NZ"/>
              </w:rPr>
              <w:t>Learner</w:t>
            </w:r>
            <w:r w:rsidR="00FC2A23" w:rsidRPr="00A74C9A">
              <w:rPr>
                <w:rFonts w:cs="Arial"/>
                <w:lang w:val="en-NZ"/>
              </w:rPr>
              <w:t>s with the Department of Corrections</w:t>
            </w:r>
          </w:p>
        </w:tc>
        <w:tc>
          <w:tcPr>
            <w:tcW w:w="6132" w:type="dxa"/>
          </w:tcPr>
          <w:p w14:paraId="4743544D" w14:textId="2254C1FE" w:rsidR="00FC2A23" w:rsidRPr="00A74C9A" w:rsidRDefault="00FC2A23" w:rsidP="00377248">
            <w:pPr>
              <w:pStyle w:val="TableText"/>
              <w:spacing w:after="0"/>
              <w:jc w:val="both"/>
              <w:rPr>
                <w:rFonts w:cs="Arial"/>
                <w:lang w:val="en-NZ"/>
              </w:rPr>
            </w:pPr>
            <w:r w:rsidRPr="00A74C9A">
              <w:rPr>
                <w:rFonts w:cs="Arial"/>
                <w:lang w:val="en-NZ"/>
              </w:rPr>
              <w:t xml:space="preserve">Prison inmates who are not covered by publicly funded programmes designed for prisoners are eligible to enrol at </w:t>
            </w:r>
            <w:r w:rsidR="00893B2F" w:rsidRPr="00A74C9A">
              <w:rPr>
                <w:rFonts w:cs="Arial"/>
                <w:lang w:val="en-NZ"/>
              </w:rPr>
              <w:t>ATNZ</w:t>
            </w:r>
            <w:r w:rsidRPr="00A74C9A">
              <w:rPr>
                <w:rFonts w:cs="Arial"/>
                <w:lang w:val="en-NZ"/>
              </w:rPr>
              <w:t xml:space="preserve"> if they meet the entry criteria for the programme or training scheme. </w:t>
            </w:r>
          </w:p>
          <w:p w14:paraId="7D05DFB7" w14:textId="77777777" w:rsidR="00FC2A23" w:rsidRPr="00A74C9A" w:rsidRDefault="00FC2A23" w:rsidP="00377248">
            <w:pPr>
              <w:pStyle w:val="TableText"/>
              <w:spacing w:after="0"/>
              <w:rPr>
                <w:rFonts w:cs="Arial"/>
                <w:lang w:val="en-NZ"/>
              </w:rPr>
            </w:pPr>
          </w:p>
        </w:tc>
      </w:tr>
      <w:tr w:rsidR="00FC2A23" w:rsidRPr="0003653F" w14:paraId="00A19C89" w14:textId="77777777" w:rsidTr="000B792B">
        <w:trPr>
          <w:cantSplit/>
          <w:trHeight w:val="3460"/>
        </w:trPr>
        <w:tc>
          <w:tcPr>
            <w:tcW w:w="1817" w:type="dxa"/>
          </w:tcPr>
          <w:p w14:paraId="5A177325" w14:textId="35ADA45E" w:rsidR="00FC2A23" w:rsidRPr="00A74C9A" w:rsidRDefault="00893B2F" w:rsidP="00377248">
            <w:pPr>
              <w:pStyle w:val="TableText"/>
              <w:rPr>
                <w:rFonts w:cs="Arial"/>
                <w:lang w:val="en-NZ"/>
              </w:rPr>
            </w:pPr>
            <w:r w:rsidRPr="00A74C9A">
              <w:rPr>
                <w:rFonts w:cs="Arial"/>
                <w:lang w:val="en-NZ"/>
              </w:rPr>
              <w:lastRenderedPageBreak/>
              <w:t>Learner</w:t>
            </w:r>
            <w:r w:rsidR="00FC2A23" w:rsidRPr="00A74C9A">
              <w:rPr>
                <w:rFonts w:cs="Arial"/>
                <w:lang w:val="en-NZ"/>
              </w:rPr>
              <w:t xml:space="preserve">s who are studying in another provider’s programme, </w:t>
            </w:r>
            <w:proofErr w:type="spellStart"/>
            <w:r w:rsidR="002C53C0">
              <w:rPr>
                <w:rFonts w:cs="Arial"/>
                <w:lang w:val="en-NZ"/>
              </w:rPr>
              <w:t>microcredential</w:t>
            </w:r>
            <w:proofErr w:type="spellEnd"/>
            <w:r w:rsidR="00FC2A23" w:rsidRPr="00A74C9A">
              <w:rPr>
                <w:rFonts w:cs="Arial"/>
                <w:lang w:val="en-NZ"/>
              </w:rPr>
              <w:t xml:space="preserve"> or other form of provision at </w:t>
            </w:r>
            <w:r w:rsidRPr="00A74C9A">
              <w:rPr>
                <w:rFonts w:cs="Arial"/>
                <w:lang w:val="en-NZ"/>
              </w:rPr>
              <w:t>ATNZ</w:t>
            </w:r>
          </w:p>
          <w:p w14:paraId="50A92C81" w14:textId="77777777" w:rsidR="00FC2A23" w:rsidRPr="00A74C9A" w:rsidRDefault="00FC2A23" w:rsidP="00377248">
            <w:pPr>
              <w:pStyle w:val="TableText"/>
              <w:rPr>
                <w:rFonts w:cs="Arial"/>
                <w:lang w:val="en-NZ"/>
              </w:rPr>
            </w:pPr>
          </w:p>
          <w:p w14:paraId="051D3772" w14:textId="77777777" w:rsidR="00FC2A23" w:rsidRPr="00A74C9A" w:rsidRDefault="00FC2A23" w:rsidP="00377248">
            <w:pPr>
              <w:pStyle w:val="TableText"/>
              <w:rPr>
                <w:rFonts w:cs="Arial"/>
                <w:lang w:val="en-NZ"/>
              </w:rPr>
            </w:pPr>
          </w:p>
        </w:tc>
        <w:tc>
          <w:tcPr>
            <w:tcW w:w="6132" w:type="dxa"/>
          </w:tcPr>
          <w:p w14:paraId="4CE4B714" w14:textId="07CFC8D3" w:rsidR="00FC2A23" w:rsidRPr="00A74C9A" w:rsidRDefault="00893B2F" w:rsidP="00377248">
            <w:pPr>
              <w:pStyle w:val="TableText"/>
              <w:rPr>
                <w:rFonts w:cs="Arial"/>
                <w:lang w:val="en-NZ"/>
              </w:rPr>
            </w:pPr>
            <w:r w:rsidRPr="00A74C9A">
              <w:rPr>
                <w:rFonts w:cs="Arial"/>
                <w:lang w:val="en-NZ"/>
              </w:rPr>
              <w:t>Learner</w:t>
            </w:r>
            <w:r w:rsidR="00FC2A23" w:rsidRPr="00A74C9A">
              <w:rPr>
                <w:rFonts w:cs="Arial"/>
                <w:lang w:val="en-NZ"/>
              </w:rPr>
              <w:t xml:space="preserve">s who are studying in another provider’s programme including subcontracted delivery on behalf of other providers, training scheme or other form of provision at </w:t>
            </w:r>
            <w:r w:rsidRPr="00A74C9A">
              <w:rPr>
                <w:rFonts w:cs="Arial"/>
                <w:lang w:val="en-NZ"/>
              </w:rPr>
              <w:t>ATNZ</w:t>
            </w:r>
            <w:r w:rsidR="00FC2A23" w:rsidRPr="00A74C9A">
              <w:rPr>
                <w:rFonts w:cs="Arial"/>
                <w:lang w:val="en-NZ"/>
              </w:rPr>
              <w:t xml:space="preserve"> are enrolled through their own institution.  These </w:t>
            </w:r>
            <w:r w:rsidRPr="00A74C9A">
              <w:rPr>
                <w:rFonts w:cs="Arial"/>
                <w:lang w:val="en-NZ"/>
              </w:rPr>
              <w:t>learner</w:t>
            </w:r>
            <w:r w:rsidR="00FC2A23" w:rsidRPr="00A74C9A">
              <w:rPr>
                <w:rFonts w:cs="Arial"/>
                <w:lang w:val="en-NZ"/>
              </w:rPr>
              <w:t>s must follow their own institution’s enrolment processes and regulations.</w:t>
            </w:r>
          </w:p>
          <w:p w14:paraId="7D50499C" w14:textId="39148856" w:rsidR="00FC2A23" w:rsidRPr="0003653F" w:rsidRDefault="00FC2A23" w:rsidP="00377248">
            <w:pPr>
              <w:pStyle w:val="TableText"/>
              <w:spacing w:before="0" w:after="0"/>
              <w:jc w:val="both"/>
              <w:rPr>
                <w:rFonts w:cs="Arial"/>
                <w:lang w:val="en-NZ"/>
              </w:rPr>
            </w:pPr>
            <w:r w:rsidRPr="00A74C9A">
              <w:rPr>
                <w:rFonts w:cs="Arial"/>
                <w:lang w:val="en-NZ"/>
              </w:rPr>
              <w:t xml:space="preserve">These </w:t>
            </w:r>
            <w:r w:rsidR="00893B2F" w:rsidRPr="00A74C9A">
              <w:rPr>
                <w:rFonts w:cs="Arial"/>
                <w:lang w:val="en-NZ"/>
              </w:rPr>
              <w:t>learner</w:t>
            </w:r>
            <w:r w:rsidRPr="00A74C9A">
              <w:rPr>
                <w:rFonts w:cs="Arial"/>
                <w:lang w:val="en-NZ"/>
              </w:rPr>
              <w:t xml:space="preserve">s are not enrolled </w:t>
            </w:r>
            <w:r w:rsidR="00893B2F" w:rsidRPr="00A74C9A">
              <w:rPr>
                <w:rFonts w:cs="Arial"/>
                <w:lang w:val="en-NZ"/>
              </w:rPr>
              <w:t>learner</w:t>
            </w:r>
            <w:r w:rsidRPr="00A74C9A">
              <w:rPr>
                <w:rFonts w:cs="Arial"/>
                <w:lang w:val="en-NZ"/>
              </w:rPr>
              <w:t xml:space="preserve">s of </w:t>
            </w:r>
            <w:r w:rsidR="00893B2F" w:rsidRPr="00A74C9A">
              <w:rPr>
                <w:rFonts w:cs="Arial"/>
                <w:lang w:val="en-NZ"/>
              </w:rPr>
              <w:t>ATNZ</w:t>
            </w:r>
            <w:r w:rsidRPr="00A74C9A">
              <w:rPr>
                <w:rFonts w:cs="Arial"/>
                <w:lang w:val="en-NZ"/>
              </w:rPr>
              <w:t xml:space="preserve"> but may be entitled to use various </w:t>
            </w:r>
            <w:r w:rsidR="00893B2F" w:rsidRPr="00A74C9A">
              <w:rPr>
                <w:rFonts w:cs="Arial"/>
                <w:lang w:val="en-NZ"/>
              </w:rPr>
              <w:t>learner</w:t>
            </w:r>
            <w:r w:rsidRPr="00A74C9A">
              <w:rPr>
                <w:rFonts w:cs="Arial"/>
                <w:lang w:val="en-NZ"/>
              </w:rPr>
              <w:t xml:space="preserve"> support services and may be subject to parts of these Regulations </w:t>
            </w:r>
            <w:r w:rsidRPr="00A74C9A">
              <w:rPr>
                <w:rFonts w:cs="Arial"/>
              </w:rPr>
              <w:t xml:space="preserve">by agreement between </w:t>
            </w:r>
            <w:r w:rsidR="00893B2F" w:rsidRPr="00A74C9A">
              <w:rPr>
                <w:rFonts w:cs="Arial"/>
              </w:rPr>
              <w:t>ATNZ</w:t>
            </w:r>
            <w:r w:rsidRPr="00A74C9A">
              <w:rPr>
                <w:rFonts w:cs="Arial"/>
              </w:rPr>
              <w:t xml:space="preserve"> and the provider.  Where applicable, this will be </w:t>
            </w:r>
            <w:r w:rsidRPr="00A74C9A">
              <w:rPr>
                <w:rFonts w:cs="Arial"/>
                <w:lang w:val="en-NZ"/>
              </w:rPr>
              <w:t xml:space="preserve">specified in their </w:t>
            </w:r>
            <w:r w:rsidR="00893B2F" w:rsidRPr="00A74C9A">
              <w:rPr>
                <w:rFonts w:cs="Arial"/>
                <w:lang w:val="en-NZ"/>
              </w:rPr>
              <w:t>learner</w:t>
            </w:r>
            <w:r w:rsidRPr="00A74C9A">
              <w:rPr>
                <w:rFonts w:cs="Arial"/>
                <w:lang w:val="en-NZ"/>
              </w:rPr>
              <w:t xml:space="preserve"> information and </w:t>
            </w:r>
            <w:r w:rsidR="00893B2F" w:rsidRPr="00A74C9A">
              <w:rPr>
                <w:rFonts w:cs="Arial"/>
                <w:lang w:val="en-NZ"/>
              </w:rPr>
              <w:t>learner</w:t>
            </w:r>
            <w:r w:rsidRPr="00A74C9A">
              <w:rPr>
                <w:rFonts w:cs="Arial"/>
                <w:lang w:val="en-NZ"/>
              </w:rPr>
              <w:t xml:space="preserve">s will be required to comply with </w:t>
            </w:r>
            <w:r w:rsidR="00893B2F" w:rsidRPr="00A74C9A">
              <w:rPr>
                <w:rFonts w:cs="Arial"/>
                <w:lang w:val="en-NZ"/>
              </w:rPr>
              <w:t>ATNZ</w:t>
            </w:r>
            <w:r w:rsidRPr="00A74C9A">
              <w:rPr>
                <w:rFonts w:cs="Arial"/>
                <w:lang w:val="en-NZ"/>
              </w:rPr>
              <w:t xml:space="preserve"> regulations, policies and rules for the use of these services or where </w:t>
            </w:r>
            <w:r w:rsidR="00893B2F" w:rsidRPr="00A74C9A">
              <w:rPr>
                <w:rFonts w:cs="Arial"/>
                <w:lang w:val="en-NZ"/>
              </w:rPr>
              <w:t>ATNZ</w:t>
            </w:r>
            <w:r w:rsidRPr="00A74C9A">
              <w:rPr>
                <w:rFonts w:cs="Arial"/>
                <w:lang w:val="en-NZ"/>
              </w:rPr>
              <w:t xml:space="preserve"> is conducting the </w:t>
            </w:r>
            <w:proofErr w:type="gramStart"/>
            <w:r w:rsidRPr="00A74C9A">
              <w:rPr>
                <w:rFonts w:cs="Arial"/>
                <w:lang w:val="en-NZ"/>
              </w:rPr>
              <w:t>delivery</w:t>
            </w:r>
            <w:proofErr w:type="gramEnd"/>
            <w:r w:rsidRPr="00A74C9A">
              <w:rPr>
                <w:rFonts w:cs="Arial"/>
                <w:lang w:val="en-NZ"/>
              </w:rPr>
              <w:t xml:space="preserve"> and these do not conflict with those of the provider that the </w:t>
            </w:r>
            <w:r w:rsidR="00893B2F" w:rsidRPr="00A74C9A">
              <w:rPr>
                <w:rFonts w:cs="Arial"/>
                <w:lang w:val="en-NZ"/>
              </w:rPr>
              <w:t>learner</w:t>
            </w:r>
            <w:r w:rsidRPr="00A74C9A">
              <w:rPr>
                <w:rFonts w:cs="Arial"/>
                <w:lang w:val="en-NZ"/>
              </w:rPr>
              <w:t xml:space="preserve"> is enrolled with.</w:t>
            </w:r>
            <w:r w:rsidRPr="0003653F">
              <w:rPr>
                <w:rFonts w:cs="Arial"/>
                <w:lang w:val="en-NZ"/>
              </w:rPr>
              <w:t xml:space="preserve">  </w:t>
            </w:r>
          </w:p>
          <w:p w14:paraId="0C24F397" w14:textId="77777777" w:rsidR="00FC2A23" w:rsidRPr="0003653F" w:rsidRDefault="00FC2A23" w:rsidP="00377248">
            <w:pPr>
              <w:pStyle w:val="TableText"/>
              <w:rPr>
                <w:rFonts w:cs="Arial"/>
                <w:lang w:val="en-NZ"/>
              </w:rPr>
            </w:pPr>
          </w:p>
        </w:tc>
      </w:tr>
    </w:tbl>
    <w:p w14:paraId="1636E1DE" w14:textId="77777777" w:rsidR="00FC2A23" w:rsidRDefault="00FC2A23" w:rsidP="00D942F7">
      <w:pPr>
        <w:pStyle w:val="Heading2No"/>
        <w:spacing w:before="320"/>
        <w:rPr>
          <w:rFonts w:cs="Arial"/>
          <w:szCs w:val="20"/>
          <w:lang w:val="en-NZ"/>
        </w:rPr>
      </w:pPr>
      <w:r>
        <w:rPr>
          <w:rFonts w:cs="Arial"/>
          <w:szCs w:val="20"/>
          <w:lang w:val="en-NZ"/>
        </w:rPr>
        <w:t xml:space="preserve">Keeping enrolment details up to </w:t>
      </w:r>
      <w:proofErr w:type="gramStart"/>
      <w:r>
        <w:rPr>
          <w:rFonts w:cs="Arial"/>
          <w:szCs w:val="20"/>
          <w:lang w:val="en-NZ"/>
        </w:rPr>
        <w:t>date</w:t>
      </w:r>
      <w:proofErr w:type="gramEnd"/>
    </w:p>
    <w:p w14:paraId="2C07E3DA" w14:textId="05CF6245" w:rsidR="00E5747F" w:rsidRDefault="00893B2F" w:rsidP="0050683E">
      <w:pPr>
        <w:pStyle w:val="Heading2No"/>
        <w:numPr>
          <w:ilvl w:val="0"/>
          <w:numId w:val="0"/>
        </w:numPr>
        <w:spacing w:before="320"/>
        <w:ind w:left="567"/>
        <w:rPr>
          <w:rFonts w:cs="Arial"/>
          <w:b w:val="0"/>
          <w:szCs w:val="20"/>
          <w:lang w:val="en-NZ"/>
        </w:rPr>
      </w:pPr>
      <w:r>
        <w:rPr>
          <w:rFonts w:cs="Arial"/>
          <w:b w:val="0"/>
          <w:szCs w:val="20"/>
          <w:lang w:val="en-NZ"/>
        </w:rPr>
        <w:t>Learner</w:t>
      </w:r>
      <w:r w:rsidR="00FC2A23">
        <w:rPr>
          <w:rFonts w:cs="Arial"/>
          <w:b w:val="0"/>
          <w:szCs w:val="20"/>
          <w:lang w:val="en-NZ"/>
        </w:rPr>
        <w:t xml:space="preserve">s are responsible for advising </w:t>
      </w:r>
      <w:r>
        <w:rPr>
          <w:rFonts w:cs="Arial"/>
          <w:b w:val="0"/>
          <w:szCs w:val="20"/>
          <w:lang w:val="en-NZ"/>
        </w:rPr>
        <w:t>ATNZ</w:t>
      </w:r>
      <w:r w:rsidR="00FC2A23">
        <w:rPr>
          <w:rFonts w:cs="Arial"/>
          <w:b w:val="0"/>
          <w:szCs w:val="20"/>
          <w:lang w:val="en-NZ"/>
        </w:rPr>
        <w:t xml:space="preserve"> of any changes in their name, home address, contact details and emergency contacts throughout their period of enrolment.</w:t>
      </w:r>
      <w:r w:rsidR="00FC2A23">
        <w:rPr>
          <w:rFonts w:cs="Arial"/>
          <w:b w:val="0"/>
          <w:szCs w:val="20"/>
          <w:lang w:val="en-NZ"/>
        </w:rPr>
        <w:br/>
      </w:r>
    </w:p>
    <w:p w14:paraId="754DD5F5" w14:textId="77777777" w:rsidR="00E8020D" w:rsidRPr="00262459" w:rsidRDefault="00E8020D">
      <w:pPr>
        <w:rPr>
          <w:rFonts w:ascii="Arial" w:eastAsia="Times New Roman" w:hAnsi="Arial" w:cs="Arial"/>
          <w:sz w:val="20"/>
          <w:szCs w:val="20"/>
          <w:highlight w:val="yellow"/>
          <w:lang w:eastAsia="en-US"/>
        </w:rPr>
      </w:pPr>
    </w:p>
    <w:p w14:paraId="46161270" w14:textId="77777777" w:rsidR="007A5DC3" w:rsidRPr="00262459" w:rsidRDefault="007A5DC3">
      <w:pPr>
        <w:rPr>
          <w:rFonts w:ascii="Arial" w:eastAsia="Times New Roman" w:hAnsi="Arial" w:cs="Arial"/>
          <w:sz w:val="20"/>
          <w:szCs w:val="20"/>
          <w:highlight w:val="yellow"/>
          <w:lang w:eastAsia="en-US"/>
        </w:rPr>
      </w:pPr>
    </w:p>
    <w:p w14:paraId="57CE3BF6" w14:textId="1FFD7F2B" w:rsidR="006058BD" w:rsidRPr="0078406E" w:rsidRDefault="007D77E7" w:rsidP="001548F7">
      <w:pPr>
        <w:pStyle w:val="Heading1No"/>
      </w:pPr>
      <w:bookmarkStart w:id="11" w:name="_Toc352741614"/>
      <w:bookmarkStart w:id="12" w:name="_Toc352763799"/>
      <w:bookmarkStart w:id="13" w:name="_Toc105753597"/>
      <w:r>
        <w:t xml:space="preserve">Setting and </w:t>
      </w:r>
      <w:r w:rsidR="00BC69A8" w:rsidRPr="0078406E">
        <w:t>Paying Fees</w:t>
      </w:r>
      <w:bookmarkEnd w:id="11"/>
      <w:bookmarkEnd w:id="12"/>
      <w:bookmarkEnd w:id="13"/>
    </w:p>
    <w:p w14:paraId="1DDF2E13" w14:textId="77777777" w:rsidR="00297A67" w:rsidRPr="00032FAF" w:rsidRDefault="00764AA0" w:rsidP="00E15A8A">
      <w:pPr>
        <w:pStyle w:val="Heading2No"/>
        <w:rPr>
          <w:rFonts w:cs="Arial"/>
          <w:szCs w:val="20"/>
          <w:lang w:val="en-NZ"/>
        </w:rPr>
      </w:pPr>
      <w:r w:rsidRPr="00032FAF">
        <w:rPr>
          <w:rFonts w:cs="Arial"/>
          <w:szCs w:val="20"/>
          <w:lang w:val="en-NZ"/>
        </w:rPr>
        <w:t>General provisions</w:t>
      </w:r>
    </w:p>
    <w:p w14:paraId="15F76359" w14:textId="77777777" w:rsidR="00736967" w:rsidRPr="0003653F" w:rsidRDefault="00BC69A8">
      <w:pPr>
        <w:pStyle w:val="BlockNumber"/>
        <w:ind w:left="1587" w:hanging="873"/>
        <w:rPr>
          <w:rFonts w:cs="Arial"/>
          <w:szCs w:val="20"/>
          <w:lang w:val="en-NZ"/>
        </w:rPr>
      </w:pPr>
      <w:bookmarkStart w:id="14" w:name="_Hlk504140741"/>
      <w:r w:rsidRPr="0003653F">
        <w:rPr>
          <w:rFonts w:cs="Arial"/>
          <w:szCs w:val="20"/>
          <w:lang w:val="en-NZ"/>
        </w:rPr>
        <w:t xml:space="preserve">This section covers </w:t>
      </w:r>
      <w:r w:rsidR="001C42F5" w:rsidRPr="0003653F">
        <w:rPr>
          <w:rFonts w:cs="Arial"/>
          <w:szCs w:val="20"/>
          <w:lang w:val="en-NZ"/>
        </w:rPr>
        <w:t xml:space="preserve">the </w:t>
      </w:r>
      <w:r w:rsidRPr="0003653F">
        <w:rPr>
          <w:rFonts w:cs="Arial"/>
          <w:szCs w:val="20"/>
          <w:lang w:val="en-NZ"/>
        </w:rPr>
        <w:t>payment of fees by:</w:t>
      </w:r>
    </w:p>
    <w:p w14:paraId="4EAB1C02" w14:textId="06538B95" w:rsidR="00736967" w:rsidRPr="0003653F" w:rsidRDefault="00BC69A8" w:rsidP="00135CF0">
      <w:pPr>
        <w:pStyle w:val="Bullet1"/>
        <w:tabs>
          <w:tab w:val="clear" w:pos="1494"/>
        </w:tabs>
        <w:ind w:left="2127" w:hanging="426"/>
        <w:rPr>
          <w:rFonts w:cs="Arial"/>
          <w:lang w:val="en-NZ"/>
        </w:rPr>
      </w:pPr>
      <w:r w:rsidRPr="0003653F">
        <w:rPr>
          <w:rFonts w:cs="Arial"/>
          <w:lang w:val="en-NZ"/>
        </w:rPr>
        <w:t>New Zealand citizens and permanent residents;</w:t>
      </w:r>
      <w:r w:rsidR="00262459">
        <w:rPr>
          <w:rFonts w:cs="Arial"/>
          <w:lang w:val="en-NZ"/>
        </w:rPr>
        <w:t xml:space="preserve"> and</w:t>
      </w:r>
    </w:p>
    <w:p w14:paraId="5CFA28B6" w14:textId="503118D7" w:rsidR="00736967" w:rsidRPr="0003653F" w:rsidRDefault="005B449A" w:rsidP="00135CF0">
      <w:pPr>
        <w:pStyle w:val="Bullet1"/>
        <w:tabs>
          <w:tab w:val="clear" w:pos="1494"/>
        </w:tabs>
        <w:ind w:left="2127" w:hanging="426"/>
        <w:rPr>
          <w:rFonts w:cs="Arial"/>
          <w:lang w:val="en-NZ"/>
        </w:rPr>
      </w:pPr>
      <w:r w:rsidRPr="0003653F">
        <w:rPr>
          <w:rFonts w:cs="Arial"/>
          <w:lang w:val="en-NZ"/>
        </w:rPr>
        <w:t>Companies</w:t>
      </w:r>
      <w:r w:rsidR="00AE2EDE">
        <w:rPr>
          <w:rFonts w:cs="Arial"/>
          <w:lang w:val="en-NZ"/>
        </w:rPr>
        <w:t xml:space="preserve"> on behalf of learners</w:t>
      </w:r>
      <w:r w:rsidRPr="0003653F">
        <w:rPr>
          <w:rFonts w:cs="Arial"/>
          <w:lang w:val="en-NZ"/>
        </w:rPr>
        <w:t>.</w:t>
      </w:r>
    </w:p>
    <w:bookmarkEnd w:id="14"/>
    <w:p w14:paraId="03F8B140" w14:textId="77777777" w:rsidR="008A7F87" w:rsidRPr="00FD1B7F" w:rsidRDefault="008A7F87">
      <w:pPr>
        <w:pStyle w:val="Heading2No"/>
        <w:rPr>
          <w:rFonts w:cs="Arial"/>
          <w:szCs w:val="20"/>
          <w:lang w:val="en-NZ"/>
        </w:rPr>
      </w:pPr>
      <w:r>
        <w:rPr>
          <w:rFonts w:cs="Arial"/>
          <w:szCs w:val="20"/>
          <w:lang w:val="en-NZ"/>
        </w:rPr>
        <w:t xml:space="preserve"> </w:t>
      </w:r>
      <w:r w:rsidRPr="00FD1B7F">
        <w:rPr>
          <w:rFonts w:cs="Arial"/>
          <w:szCs w:val="20"/>
          <w:lang w:val="en-NZ"/>
        </w:rPr>
        <w:t>Fee Setting</w:t>
      </w:r>
    </w:p>
    <w:p w14:paraId="0AF697AF" w14:textId="5524A75C" w:rsidR="0020228B" w:rsidRDefault="00D26D7D" w:rsidP="008A7F87">
      <w:pPr>
        <w:pStyle w:val="BlockNumber"/>
        <w:ind w:left="1701" w:hanging="992"/>
      </w:pPr>
      <w:r w:rsidRPr="007F065E">
        <w:t>F</w:t>
      </w:r>
      <w:r w:rsidR="0020228B" w:rsidRPr="007F065E">
        <w:t xml:space="preserve">ees </w:t>
      </w:r>
      <w:r w:rsidR="0098375C" w:rsidRPr="007F065E">
        <w:t xml:space="preserve">and any compulsory non-tuition fees </w:t>
      </w:r>
      <w:r w:rsidR="0020228B" w:rsidRPr="007F065E">
        <w:t xml:space="preserve">for </w:t>
      </w:r>
      <w:proofErr w:type="spellStart"/>
      <w:r w:rsidR="00262459" w:rsidRPr="007F065E">
        <w:t>programmes</w:t>
      </w:r>
      <w:proofErr w:type="spellEnd"/>
      <w:r w:rsidR="00E63884">
        <w:t xml:space="preserve">, </w:t>
      </w:r>
      <w:proofErr w:type="spellStart"/>
      <w:r w:rsidR="00E63884">
        <w:t>microcredentials</w:t>
      </w:r>
      <w:proofErr w:type="spellEnd"/>
      <w:r w:rsidR="00262459" w:rsidRPr="007F065E">
        <w:t xml:space="preserve"> and </w:t>
      </w:r>
      <w:r w:rsidR="0020228B" w:rsidRPr="007F065E">
        <w:t xml:space="preserve">courses </w:t>
      </w:r>
      <w:r w:rsidRPr="007F065E">
        <w:t>will</w:t>
      </w:r>
      <w:r w:rsidR="0020228B" w:rsidRPr="007F065E">
        <w:t xml:space="preserve"> be set and approved by the Chief Executive prior to enrolments being accepted into that</w:t>
      </w:r>
      <w:r w:rsidR="00262459" w:rsidRPr="007F065E">
        <w:t xml:space="preserve"> programme or </w:t>
      </w:r>
      <w:r w:rsidR="0020228B" w:rsidRPr="007F065E">
        <w:t>course</w:t>
      </w:r>
      <w:r w:rsidR="00262459" w:rsidRPr="007F065E">
        <w:t>.</w:t>
      </w:r>
    </w:p>
    <w:p w14:paraId="25C0988D" w14:textId="61353A70" w:rsidR="00585291" w:rsidRPr="007F065E" w:rsidRDefault="00585291" w:rsidP="008A7F87">
      <w:pPr>
        <w:pStyle w:val="BlockNumber"/>
        <w:ind w:left="1701" w:hanging="992"/>
      </w:pPr>
      <w:r>
        <w:t xml:space="preserve">Fees for apprenticeship programmes </w:t>
      </w:r>
      <w:r w:rsidR="00450A8D">
        <w:t xml:space="preserve">will be set as annual fees and will be prorated for the months </w:t>
      </w:r>
      <w:r w:rsidR="002A0202">
        <w:t>that the learner will be enrolled in any calendar year.</w:t>
      </w:r>
      <w:r>
        <w:t xml:space="preserve"> </w:t>
      </w:r>
    </w:p>
    <w:p w14:paraId="67E59A72" w14:textId="1B5DC615" w:rsidR="0098375C" w:rsidRPr="00FD1B7F" w:rsidRDefault="0098375C" w:rsidP="0098375C">
      <w:pPr>
        <w:pStyle w:val="BlockNumber"/>
        <w:ind w:left="1701" w:hanging="992"/>
      </w:pPr>
      <w:r w:rsidRPr="00FD1B7F">
        <w:t xml:space="preserve">Compulsory non-tuition fees may be charged for equipment, clothing or materials that are required </w:t>
      </w:r>
      <w:proofErr w:type="gramStart"/>
      <w:r w:rsidRPr="00FD1B7F">
        <w:t>in order to</w:t>
      </w:r>
      <w:proofErr w:type="gramEnd"/>
      <w:r w:rsidRPr="00FD1B7F">
        <w:t xml:space="preserve"> complete the programme </w:t>
      </w:r>
      <w:r w:rsidR="00D26D7D" w:rsidRPr="00FD1B7F">
        <w:t xml:space="preserve">where </w:t>
      </w:r>
      <w:r w:rsidRPr="00FD1B7F">
        <w:t xml:space="preserve">the </w:t>
      </w:r>
      <w:r w:rsidR="00893B2F" w:rsidRPr="00FD1B7F">
        <w:t>learner</w:t>
      </w:r>
      <w:r w:rsidRPr="00FD1B7F">
        <w:t xml:space="preserve"> is entitled to retain</w:t>
      </w:r>
      <w:r w:rsidR="00D26D7D" w:rsidRPr="00FD1B7F">
        <w:t xml:space="preserve"> such resources</w:t>
      </w:r>
      <w:r w:rsidR="00D037DF">
        <w:t>,</w:t>
      </w:r>
      <w:r w:rsidRPr="00FD1B7F">
        <w:t xml:space="preserve"> except where such compulsory non-tuition fees would breach the conditions of any particular funding </w:t>
      </w:r>
      <w:r w:rsidR="00262459" w:rsidRPr="00FD1B7F">
        <w:t xml:space="preserve">condition or </w:t>
      </w:r>
      <w:r w:rsidRPr="00FD1B7F">
        <w:t xml:space="preserve">agreement.  </w:t>
      </w:r>
    </w:p>
    <w:p w14:paraId="2F4D3D14" w14:textId="49C979A3" w:rsidR="0020228B" w:rsidRPr="00FD1B7F" w:rsidRDefault="0020228B" w:rsidP="008A7F87">
      <w:pPr>
        <w:pStyle w:val="BlockNumber"/>
        <w:ind w:left="1701" w:hanging="992"/>
      </w:pPr>
      <w:r w:rsidRPr="00FD1B7F">
        <w:t>A</w:t>
      </w:r>
      <w:r w:rsidR="008A7F87" w:rsidRPr="00FD1B7F">
        <w:t xml:space="preserve"> compulsory </w:t>
      </w:r>
      <w:r w:rsidR="00893B2F" w:rsidRPr="00FD1B7F">
        <w:t>Learner</w:t>
      </w:r>
      <w:r w:rsidR="008A7F87" w:rsidRPr="00FD1B7F">
        <w:t xml:space="preserve"> Service Fee </w:t>
      </w:r>
      <w:r w:rsidR="00262459" w:rsidRPr="00FD1B7F">
        <w:t xml:space="preserve">may </w:t>
      </w:r>
      <w:r w:rsidRPr="00FD1B7F">
        <w:t xml:space="preserve">be charged by </w:t>
      </w:r>
      <w:r w:rsidR="00893B2F" w:rsidRPr="00FD1B7F">
        <w:t>ATNZ</w:t>
      </w:r>
      <w:r w:rsidRPr="00FD1B7F">
        <w:t xml:space="preserve"> in addition to the </w:t>
      </w:r>
      <w:r w:rsidR="00540BAD" w:rsidRPr="00FD1B7F">
        <w:t>p</w:t>
      </w:r>
      <w:r w:rsidRPr="00FD1B7F">
        <w:t xml:space="preserve">rogramme </w:t>
      </w:r>
      <w:r w:rsidR="00540BAD" w:rsidRPr="00FD1B7F">
        <w:t>f</w:t>
      </w:r>
      <w:r w:rsidRPr="00FD1B7F">
        <w:t>ee for Programmes that lead to a qualification on the New Zealand Qualifications Framework.</w:t>
      </w:r>
      <w:r w:rsidRPr="00FD1B7F">
        <w:br/>
      </w:r>
      <w:r w:rsidRPr="00FD1B7F">
        <w:br/>
        <w:t xml:space="preserve">This fee is intended to pay some of the costs incurred by </w:t>
      </w:r>
      <w:r w:rsidR="00893B2F" w:rsidRPr="00FD1B7F">
        <w:t>ATNZ</w:t>
      </w:r>
      <w:r w:rsidRPr="00FD1B7F">
        <w:t xml:space="preserve"> in providing </w:t>
      </w:r>
      <w:r w:rsidR="00893B2F" w:rsidRPr="00FD1B7F">
        <w:t>learner</w:t>
      </w:r>
      <w:r w:rsidRPr="00FD1B7F">
        <w:t xml:space="preserve"> support and services beyond basic delivery requirements, such as health and counselling services, specialist learning support</w:t>
      </w:r>
      <w:r w:rsidR="00291C1D" w:rsidRPr="00FD1B7F">
        <w:t xml:space="preserve"> and advocacy. This fee </w:t>
      </w:r>
      <w:r w:rsidR="00262459" w:rsidRPr="00FD1B7F">
        <w:t xml:space="preserve">will only be introduced after </w:t>
      </w:r>
      <w:r w:rsidR="00291C1D" w:rsidRPr="00FD1B7F">
        <w:lastRenderedPageBreak/>
        <w:t xml:space="preserve">consultation with </w:t>
      </w:r>
      <w:r w:rsidR="00893B2F" w:rsidRPr="00FD1B7F">
        <w:t>ATNZ</w:t>
      </w:r>
      <w:r w:rsidR="00291C1D" w:rsidRPr="00FD1B7F">
        <w:t xml:space="preserve"> </w:t>
      </w:r>
      <w:r w:rsidR="00893B2F" w:rsidRPr="00FD1B7F">
        <w:t>learner</w:t>
      </w:r>
      <w:r w:rsidR="00291C1D" w:rsidRPr="00FD1B7F">
        <w:t xml:space="preserve">s. Details of the costs and services provided for this fee will be published in the </w:t>
      </w:r>
      <w:r w:rsidR="00893B2F" w:rsidRPr="00FD1B7F">
        <w:t>ATNZ</w:t>
      </w:r>
      <w:r w:rsidR="00291C1D" w:rsidRPr="00FD1B7F">
        <w:t xml:space="preserve"> Annual Report. </w:t>
      </w:r>
    </w:p>
    <w:p w14:paraId="18248C80" w14:textId="74D64333" w:rsidR="0078406E" w:rsidRDefault="0078406E" w:rsidP="008A7F87">
      <w:pPr>
        <w:pStyle w:val="BlockNumber"/>
        <w:ind w:left="1701" w:hanging="992"/>
      </w:pPr>
      <w:r>
        <w:t xml:space="preserve">ATNZ will maintain an independently managed Trust that fully covers any potential liability for fee refunds and is compliant with </w:t>
      </w:r>
      <w:r w:rsidR="009E27CF">
        <w:t xml:space="preserve">the requirements of the Education and Training Act 2020 and </w:t>
      </w:r>
      <w:r>
        <w:t xml:space="preserve">NZQA’s Student Fee Protection </w:t>
      </w:r>
      <w:r w:rsidR="009E27CF">
        <w:t xml:space="preserve">Rules. </w:t>
      </w:r>
      <w:r>
        <w:t xml:space="preserve">  </w:t>
      </w:r>
    </w:p>
    <w:p w14:paraId="430A1386" w14:textId="4818C007" w:rsidR="00736967" w:rsidRPr="00032FAF" w:rsidRDefault="005B449A">
      <w:pPr>
        <w:pStyle w:val="Heading2No"/>
        <w:rPr>
          <w:rFonts w:cs="Arial"/>
          <w:szCs w:val="20"/>
          <w:lang w:val="en-NZ"/>
        </w:rPr>
      </w:pPr>
      <w:r w:rsidRPr="00032FAF">
        <w:rPr>
          <w:rFonts w:cs="Arial"/>
          <w:szCs w:val="20"/>
          <w:lang w:val="en-NZ"/>
        </w:rPr>
        <w:t xml:space="preserve">When payment is due - domestic </w:t>
      </w:r>
      <w:r w:rsidR="00893B2F">
        <w:rPr>
          <w:rFonts w:cs="Arial"/>
          <w:szCs w:val="20"/>
          <w:lang w:val="en-NZ"/>
        </w:rPr>
        <w:t>learner</w:t>
      </w:r>
      <w:r w:rsidRPr="00032FAF">
        <w:rPr>
          <w:rFonts w:cs="Arial"/>
          <w:szCs w:val="20"/>
          <w:lang w:val="en-NZ"/>
        </w:rPr>
        <w:t>s</w:t>
      </w:r>
    </w:p>
    <w:p w14:paraId="749BCF26" w14:textId="2524A680" w:rsidR="00EC0AE2" w:rsidRDefault="00001D9F" w:rsidP="00EC0AE2">
      <w:pPr>
        <w:pStyle w:val="BlockNumber"/>
        <w:ind w:left="1587" w:hanging="873"/>
        <w:rPr>
          <w:rFonts w:cs="Arial"/>
          <w:szCs w:val="20"/>
          <w:lang w:val="en-NZ"/>
        </w:rPr>
      </w:pPr>
      <w:r>
        <w:rPr>
          <w:rFonts w:cs="Arial"/>
          <w:szCs w:val="20"/>
          <w:lang w:val="en-NZ"/>
        </w:rPr>
        <w:t>Programme</w:t>
      </w:r>
      <w:r w:rsidR="00E63884">
        <w:rPr>
          <w:rFonts w:cs="Arial"/>
          <w:szCs w:val="20"/>
          <w:lang w:val="en-NZ"/>
        </w:rPr>
        <w:t xml:space="preserve">, </w:t>
      </w:r>
      <w:proofErr w:type="spellStart"/>
      <w:r w:rsidR="00E63884">
        <w:rPr>
          <w:rFonts w:cs="Arial"/>
          <w:szCs w:val="20"/>
          <w:lang w:val="en-NZ"/>
        </w:rPr>
        <w:t>microcredential</w:t>
      </w:r>
      <w:proofErr w:type="spellEnd"/>
      <w:r w:rsidR="00E63884">
        <w:rPr>
          <w:rFonts w:cs="Arial"/>
          <w:szCs w:val="20"/>
          <w:lang w:val="en-NZ"/>
        </w:rPr>
        <w:t xml:space="preserve"> </w:t>
      </w:r>
      <w:r>
        <w:rPr>
          <w:rFonts w:cs="Arial"/>
          <w:szCs w:val="20"/>
          <w:lang w:val="en-NZ"/>
        </w:rPr>
        <w:t xml:space="preserve">and </w:t>
      </w:r>
      <w:r w:rsidR="00E63884">
        <w:rPr>
          <w:rFonts w:cs="Arial"/>
          <w:szCs w:val="20"/>
          <w:lang w:val="en-NZ"/>
        </w:rPr>
        <w:t>c</w:t>
      </w:r>
      <w:r>
        <w:rPr>
          <w:rFonts w:cs="Arial"/>
          <w:szCs w:val="20"/>
          <w:lang w:val="en-NZ"/>
        </w:rPr>
        <w:t>ourse fees must</w:t>
      </w:r>
      <w:r w:rsidR="00EC0AE2" w:rsidRPr="00EC0AE2">
        <w:rPr>
          <w:rFonts w:cs="Arial"/>
          <w:szCs w:val="20"/>
          <w:lang w:val="en-NZ"/>
        </w:rPr>
        <w:t xml:space="preserve"> be paid in full, or a signed agreement made for payment by instalment or other method agreed by </w:t>
      </w:r>
      <w:r w:rsidR="00893B2F">
        <w:rPr>
          <w:rFonts w:cs="Arial"/>
          <w:szCs w:val="20"/>
          <w:lang w:val="en-NZ"/>
        </w:rPr>
        <w:t>ATNZ</w:t>
      </w:r>
      <w:r w:rsidR="00EC0AE2" w:rsidRPr="00EC0AE2">
        <w:rPr>
          <w:rFonts w:cs="Arial"/>
          <w:szCs w:val="20"/>
          <w:lang w:val="en-NZ"/>
        </w:rPr>
        <w:t>, by the start</w:t>
      </w:r>
      <w:r w:rsidR="00EC0AE2">
        <w:rPr>
          <w:rFonts w:cs="Arial"/>
          <w:szCs w:val="20"/>
          <w:lang w:val="en-NZ"/>
        </w:rPr>
        <w:t xml:space="preserve"> of the course</w:t>
      </w:r>
      <w:r w:rsidR="00EC7C09">
        <w:rPr>
          <w:rFonts w:cs="Arial"/>
          <w:szCs w:val="20"/>
          <w:lang w:val="en-NZ"/>
        </w:rPr>
        <w:t xml:space="preserve"> or </w:t>
      </w:r>
      <w:r w:rsidR="009246B1">
        <w:rPr>
          <w:rFonts w:cs="Arial"/>
          <w:szCs w:val="20"/>
          <w:lang w:val="en-NZ"/>
        </w:rPr>
        <w:t xml:space="preserve">the start of the </w:t>
      </w:r>
      <w:proofErr w:type="spellStart"/>
      <w:r w:rsidR="009246B1">
        <w:rPr>
          <w:rFonts w:cs="Arial"/>
          <w:szCs w:val="20"/>
          <w:lang w:val="en-NZ"/>
        </w:rPr>
        <w:t>progamme</w:t>
      </w:r>
      <w:proofErr w:type="spellEnd"/>
      <w:r w:rsidR="009246B1">
        <w:rPr>
          <w:rFonts w:cs="Arial"/>
          <w:szCs w:val="20"/>
          <w:lang w:val="en-NZ"/>
        </w:rPr>
        <w:t xml:space="preserve"> and start of each year where annual fees are charged. </w:t>
      </w:r>
    </w:p>
    <w:p w14:paraId="3AAC3AAB" w14:textId="62135BF9" w:rsidR="00EC0AE2" w:rsidRDefault="00893B2F" w:rsidP="00EC0AE2">
      <w:pPr>
        <w:pStyle w:val="BlockNumber"/>
        <w:ind w:left="1587" w:hanging="873"/>
        <w:rPr>
          <w:rFonts w:cs="Arial"/>
          <w:szCs w:val="20"/>
          <w:lang w:val="en-NZ"/>
        </w:rPr>
      </w:pPr>
      <w:r>
        <w:rPr>
          <w:rFonts w:cs="Arial"/>
          <w:szCs w:val="20"/>
          <w:lang w:val="en-NZ"/>
        </w:rPr>
        <w:t>Learner</w:t>
      </w:r>
      <w:r w:rsidR="00EC0AE2" w:rsidRPr="0003653F">
        <w:rPr>
          <w:rFonts w:cs="Arial"/>
          <w:szCs w:val="20"/>
          <w:lang w:val="en-NZ"/>
        </w:rPr>
        <w:t xml:space="preserve">s undertaking distance or online courses must pay all fees by the time they have started communication with the </w:t>
      </w:r>
      <w:r w:rsidR="00262459">
        <w:rPr>
          <w:rFonts w:cs="Arial"/>
          <w:szCs w:val="20"/>
          <w:lang w:val="en-NZ"/>
        </w:rPr>
        <w:t>Tutor</w:t>
      </w:r>
      <w:r w:rsidR="00EC0AE2" w:rsidRPr="0003653F">
        <w:rPr>
          <w:rFonts w:cs="Arial"/>
          <w:szCs w:val="20"/>
          <w:lang w:val="en-NZ"/>
        </w:rPr>
        <w:t>.</w:t>
      </w:r>
      <w:r w:rsidR="00EC0AE2" w:rsidRPr="00EC0AE2">
        <w:rPr>
          <w:rFonts w:cs="Arial"/>
          <w:szCs w:val="20"/>
          <w:lang w:val="en-NZ"/>
        </w:rPr>
        <w:t xml:space="preserve"> </w:t>
      </w:r>
    </w:p>
    <w:p w14:paraId="7C538DD4" w14:textId="4A7D6045" w:rsidR="00391F20" w:rsidRPr="0003653F" w:rsidRDefault="00893B2F" w:rsidP="00766BF9">
      <w:pPr>
        <w:pStyle w:val="BlockNumber"/>
        <w:ind w:left="1587" w:hanging="873"/>
        <w:rPr>
          <w:rFonts w:cs="Arial"/>
          <w:szCs w:val="20"/>
          <w:lang w:val="en-NZ"/>
        </w:rPr>
      </w:pPr>
      <w:r>
        <w:rPr>
          <w:rFonts w:cs="Arial"/>
          <w:szCs w:val="20"/>
          <w:lang w:val="en-NZ"/>
        </w:rPr>
        <w:t>Learner</w:t>
      </w:r>
      <w:r w:rsidR="00391F20" w:rsidRPr="0003653F">
        <w:rPr>
          <w:rFonts w:cs="Arial"/>
          <w:szCs w:val="20"/>
          <w:lang w:val="en-NZ"/>
        </w:rPr>
        <w:t xml:space="preserve">s may be approved to pay their fees </w:t>
      </w:r>
      <w:r w:rsidR="00C2705C" w:rsidRPr="0003653F">
        <w:rPr>
          <w:rFonts w:cs="Arial"/>
          <w:szCs w:val="20"/>
          <w:lang w:val="en-NZ"/>
        </w:rPr>
        <w:t>in</w:t>
      </w:r>
      <w:r w:rsidR="00391F20" w:rsidRPr="0003653F">
        <w:rPr>
          <w:rFonts w:cs="Arial"/>
          <w:szCs w:val="20"/>
          <w:lang w:val="en-NZ"/>
        </w:rPr>
        <w:t xml:space="preserve"> instalment</w:t>
      </w:r>
      <w:r w:rsidR="00C2705C" w:rsidRPr="0003653F">
        <w:rPr>
          <w:rFonts w:cs="Arial"/>
          <w:szCs w:val="20"/>
          <w:lang w:val="en-NZ"/>
        </w:rPr>
        <w:t>s</w:t>
      </w:r>
      <w:r w:rsidR="00391F20" w:rsidRPr="0003653F">
        <w:rPr>
          <w:rFonts w:cs="Arial"/>
          <w:szCs w:val="20"/>
          <w:lang w:val="en-NZ"/>
        </w:rPr>
        <w:t xml:space="preserve">.  </w:t>
      </w:r>
    </w:p>
    <w:p w14:paraId="2C750ACF" w14:textId="0F5A2DF9" w:rsidR="00A46A94" w:rsidRPr="0003653F" w:rsidRDefault="00893B2F" w:rsidP="00766BF9">
      <w:pPr>
        <w:pStyle w:val="BlockNumber"/>
        <w:spacing w:after="60"/>
        <w:ind w:left="1587" w:hanging="873"/>
        <w:rPr>
          <w:rFonts w:cs="Arial"/>
          <w:szCs w:val="20"/>
          <w:lang w:val="en-NZ"/>
        </w:rPr>
      </w:pPr>
      <w:r>
        <w:rPr>
          <w:rFonts w:cs="Arial"/>
          <w:szCs w:val="20"/>
          <w:lang w:val="en-NZ"/>
        </w:rPr>
        <w:t>Learner</w:t>
      </w:r>
      <w:r w:rsidR="00A46A94" w:rsidRPr="0003653F">
        <w:rPr>
          <w:rFonts w:cs="Arial"/>
          <w:szCs w:val="20"/>
          <w:lang w:val="en-NZ"/>
        </w:rPr>
        <w:t xml:space="preserve">s may apply </w:t>
      </w:r>
      <w:r w:rsidR="006F0CC7" w:rsidRPr="0003653F">
        <w:rPr>
          <w:rFonts w:cs="Arial"/>
          <w:szCs w:val="20"/>
          <w:lang w:val="en-NZ"/>
        </w:rPr>
        <w:t xml:space="preserve">to pay fees </w:t>
      </w:r>
      <w:r w:rsidR="009C4297" w:rsidRPr="0003653F">
        <w:rPr>
          <w:rFonts w:cs="Arial"/>
          <w:szCs w:val="20"/>
          <w:lang w:val="en-NZ"/>
        </w:rPr>
        <w:t xml:space="preserve">in </w:t>
      </w:r>
      <w:r w:rsidR="00A46A94" w:rsidRPr="0003653F">
        <w:rPr>
          <w:rFonts w:cs="Arial"/>
          <w:szCs w:val="20"/>
          <w:lang w:val="en-NZ"/>
        </w:rPr>
        <w:t xml:space="preserve">instalments by completing and </w:t>
      </w:r>
      <w:r w:rsidR="004539C1" w:rsidRPr="0003653F">
        <w:rPr>
          <w:rFonts w:cs="Arial"/>
          <w:szCs w:val="20"/>
          <w:lang w:val="en-NZ"/>
        </w:rPr>
        <w:t>submitting</w:t>
      </w:r>
      <w:r w:rsidR="00A46A94" w:rsidRPr="0003653F">
        <w:rPr>
          <w:rFonts w:cs="Arial"/>
          <w:szCs w:val="20"/>
          <w:lang w:val="en-NZ"/>
        </w:rPr>
        <w:t xml:space="preserve"> an </w:t>
      </w:r>
      <w:r w:rsidR="00A46A94" w:rsidRPr="0003653F">
        <w:rPr>
          <w:rFonts w:cs="Arial"/>
          <w:i/>
          <w:szCs w:val="20"/>
          <w:lang w:val="en-NZ"/>
        </w:rPr>
        <w:t xml:space="preserve">Instalment Application </w:t>
      </w:r>
      <w:r w:rsidR="00A46A94" w:rsidRPr="0003653F">
        <w:rPr>
          <w:rFonts w:cs="Arial"/>
          <w:szCs w:val="20"/>
          <w:lang w:val="en-NZ"/>
        </w:rPr>
        <w:t>form</w:t>
      </w:r>
      <w:r w:rsidR="00B10F21" w:rsidRPr="0003653F">
        <w:rPr>
          <w:rStyle w:val="FootnoteReference"/>
          <w:rFonts w:cs="Arial"/>
          <w:szCs w:val="20"/>
          <w:lang w:val="en-NZ"/>
        </w:rPr>
        <w:footnoteReference w:id="3"/>
      </w:r>
      <w:r w:rsidR="00A46A94" w:rsidRPr="0003653F">
        <w:rPr>
          <w:rFonts w:cs="Arial"/>
          <w:szCs w:val="20"/>
          <w:lang w:val="en-NZ"/>
        </w:rPr>
        <w:t>.</w:t>
      </w:r>
      <w:r w:rsidR="00A46A94" w:rsidRPr="0003653F">
        <w:rPr>
          <w:rFonts w:cs="Arial"/>
          <w:b/>
          <w:szCs w:val="20"/>
          <w:lang w:val="en-NZ"/>
        </w:rPr>
        <w:t xml:space="preserve"> </w:t>
      </w:r>
      <w:r w:rsidR="003C08B5" w:rsidRPr="0003653F">
        <w:rPr>
          <w:rFonts w:cs="Arial"/>
          <w:b/>
          <w:szCs w:val="20"/>
          <w:lang w:val="en-NZ"/>
        </w:rPr>
        <w:t xml:space="preserve"> </w:t>
      </w:r>
    </w:p>
    <w:p w14:paraId="212C665E" w14:textId="0E29A8EF" w:rsidR="00EC0AE2" w:rsidRDefault="00A46A94" w:rsidP="00EC0AE2">
      <w:pPr>
        <w:pStyle w:val="BlockNumber"/>
        <w:ind w:left="1587" w:hanging="873"/>
        <w:rPr>
          <w:rFonts w:cs="Arial"/>
          <w:szCs w:val="20"/>
          <w:lang w:val="en-NZ"/>
        </w:rPr>
      </w:pPr>
      <w:r w:rsidRPr="0003653F">
        <w:rPr>
          <w:rFonts w:cs="Arial"/>
          <w:b/>
          <w:szCs w:val="20"/>
          <w:lang w:val="en-NZ"/>
        </w:rPr>
        <w:t>Note:</w:t>
      </w:r>
      <w:r w:rsidRPr="0003653F">
        <w:rPr>
          <w:rFonts w:cs="Arial"/>
          <w:szCs w:val="20"/>
          <w:lang w:val="en-NZ"/>
        </w:rPr>
        <w:t xml:space="preserve"> </w:t>
      </w:r>
      <w:r w:rsidRPr="0003653F">
        <w:rPr>
          <w:rFonts w:cs="Arial"/>
          <w:color w:val="000000"/>
          <w:szCs w:val="20"/>
          <w:lang w:val="en-NZ"/>
        </w:rPr>
        <w:t xml:space="preserve">Where </w:t>
      </w:r>
      <w:r w:rsidR="00893B2F">
        <w:rPr>
          <w:rFonts w:cs="Arial"/>
          <w:color w:val="000000"/>
          <w:szCs w:val="20"/>
          <w:lang w:val="en-NZ"/>
        </w:rPr>
        <w:t>learner</w:t>
      </w:r>
      <w:r w:rsidRPr="0003653F">
        <w:rPr>
          <w:rFonts w:cs="Arial"/>
          <w:color w:val="000000"/>
          <w:szCs w:val="20"/>
          <w:lang w:val="en-NZ"/>
        </w:rPr>
        <w:t>s are eligible for a</w:t>
      </w:r>
      <w:r w:rsidR="002B4EBE" w:rsidRPr="0003653F">
        <w:rPr>
          <w:rFonts w:cs="Arial"/>
          <w:color w:val="000000"/>
          <w:szCs w:val="20"/>
          <w:lang w:val="en-NZ"/>
        </w:rPr>
        <w:t xml:space="preserve"> </w:t>
      </w:r>
      <w:r w:rsidR="0093547A">
        <w:rPr>
          <w:rFonts w:cs="Arial"/>
          <w:color w:val="000000"/>
          <w:szCs w:val="20"/>
          <w:lang w:val="en-NZ"/>
        </w:rPr>
        <w:t>Student Loan</w:t>
      </w:r>
      <w:r w:rsidRPr="0003653F">
        <w:rPr>
          <w:rFonts w:cs="Arial"/>
          <w:color w:val="000000"/>
          <w:szCs w:val="20"/>
          <w:lang w:val="en-NZ"/>
        </w:rPr>
        <w:t xml:space="preserve">, payment </w:t>
      </w:r>
      <w:r w:rsidR="009C4297" w:rsidRPr="0003653F">
        <w:rPr>
          <w:rFonts w:cs="Arial"/>
          <w:color w:val="000000"/>
          <w:szCs w:val="20"/>
          <w:lang w:val="en-NZ"/>
        </w:rPr>
        <w:t xml:space="preserve">in </w:t>
      </w:r>
      <w:r w:rsidRPr="0003653F">
        <w:rPr>
          <w:rFonts w:cs="Arial"/>
          <w:color w:val="000000"/>
          <w:szCs w:val="20"/>
          <w:lang w:val="en-NZ"/>
        </w:rPr>
        <w:t xml:space="preserve">instalments will not normally be approved.  </w:t>
      </w:r>
      <w:r w:rsidRPr="0003653F">
        <w:rPr>
          <w:rFonts w:cs="Arial"/>
          <w:szCs w:val="20"/>
          <w:lang w:val="en-NZ"/>
        </w:rPr>
        <w:t xml:space="preserve">Agreements for the payment of fees </w:t>
      </w:r>
      <w:r w:rsidR="009C4297" w:rsidRPr="0003653F">
        <w:rPr>
          <w:rFonts w:cs="Arial"/>
          <w:szCs w:val="20"/>
          <w:lang w:val="en-NZ"/>
        </w:rPr>
        <w:t xml:space="preserve">in </w:t>
      </w:r>
      <w:r w:rsidRPr="0003653F">
        <w:rPr>
          <w:rFonts w:cs="Arial"/>
          <w:szCs w:val="20"/>
          <w:lang w:val="en-NZ"/>
        </w:rPr>
        <w:t xml:space="preserve">instalments </w:t>
      </w:r>
      <w:r w:rsidR="00A24CFA" w:rsidRPr="0003653F">
        <w:rPr>
          <w:rFonts w:cs="Arial"/>
          <w:szCs w:val="20"/>
          <w:lang w:val="en-NZ"/>
        </w:rPr>
        <w:t>shal</w:t>
      </w:r>
      <w:r w:rsidR="001E567E" w:rsidRPr="0003653F">
        <w:rPr>
          <w:rFonts w:cs="Arial"/>
          <w:szCs w:val="20"/>
          <w:lang w:val="en-NZ"/>
        </w:rPr>
        <w:t>l</w:t>
      </w:r>
      <w:r w:rsidR="00AA1F85" w:rsidRPr="0003653F">
        <w:rPr>
          <w:rFonts w:cs="Arial"/>
          <w:szCs w:val="20"/>
          <w:lang w:val="en-NZ"/>
        </w:rPr>
        <w:t xml:space="preserve"> </w:t>
      </w:r>
      <w:r w:rsidRPr="0003653F">
        <w:rPr>
          <w:rFonts w:cs="Arial"/>
          <w:szCs w:val="20"/>
          <w:lang w:val="en-NZ"/>
        </w:rPr>
        <w:t>incur an administration fee.</w:t>
      </w:r>
      <w:r w:rsidR="00EC0AE2" w:rsidRPr="00EC0AE2">
        <w:rPr>
          <w:rFonts w:cs="Arial"/>
          <w:szCs w:val="20"/>
          <w:lang w:val="en-NZ"/>
        </w:rPr>
        <w:t xml:space="preserve"> </w:t>
      </w:r>
    </w:p>
    <w:p w14:paraId="3F5FDC58" w14:textId="648CDA64" w:rsidR="00EC0AE2" w:rsidRPr="0003653F" w:rsidRDefault="00EC0AE2" w:rsidP="00EC0AE2">
      <w:pPr>
        <w:pStyle w:val="BlockNumber"/>
        <w:ind w:left="1587" w:hanging="873"/>
        <w:rPr>
          <w:rFonts w:cs="Arial"/>
          <w:szCs w:val="20"/>
          <w:lang w:val="en-NZ"/>
        </w:rPr>
      </w:pPr>
      <w:r>
        <w:rPr>
          <w:rFonts w:cs="Arial"/>
          <w:szCs w:val="20"/>
          <w:lang w:val="en-NZ"/>
        </w:rPr>
        <w:t xml:space="preserve">Agreed </w:t>
      </w:r>
      <w:r w:rsidRPr="00EC0AE2">
        <w:rPr>
          <w:rFonts w:cs="Arial"/>
          <w:szCs w:val="20"/>
          <w:lang w:val="en-NZ"/>
        </w:rPr>
        <w:t>methods for payment of fees for programmes leading to qualifications on the New Zealand Qualifications Framework include:</w:t>
      </w:r>
      <w:r w:rsidRPr="00EC0AE2">
        <w:rPr>
          <w:rFonts w:cs="Arial"/>
          <w:szCs w:val="20"/>
          <w:lang w:val="en-NZ"/>
        </w:rPr>
        <w:br/>
      </w:r>
      <w:r w:rsidRPr="00EC0AE2">
        <w:rPr>
          <w:rFonts w:cs="Arial"/>
          <w:szCs w:val="20"/>
          <w:lang w:val="en-NZ"/>
        </w:rPr>
        <w:br/>
      </w:r>
      <w:r w:rsidR="0019022A">
        <w:rPr>
          <w:rFonts w:cs="Arial"/>
          <w:szCs w:val="20"/>
          <w:lang w:val="en-NZ"/>
        </w:rPr>
        <w:t>a</w:t>
      </w:r>
      <w:r w:rsidRPr="00EC0AE2">
        <w:rPr>
          <w:rFonts w:cs="Arial"/>
          <w:szCs w:val="20"/>
          <w:lang w:val="en-NZ"/>
        </w:rPr>
        <w:t>) paid monthly (calendar month) in advance</w:t>
      </w:r>
      <w:r w:rsidRPr="00EC0AE2">
        <w:rPr>
          <w:rFonts w:cs="Arial"/>
          <w:szCs w:val="20"/>
          <w:lang w:val="en-NZ"/>
        </w:rPr>
        <w:br/>
      </w:r>
      <w:r w:rsidR="0019022A">
        <w:rPr>
          <w:rFonts w:cs="Arial"/>
          <w:szCs w:val="20"/>
          <w:lang w:val="en-NZ"/>
        </w:rPr>
        <w:t>b</w:t>
      </w:r>
      <w:r w:rsidRPr="00EC0AE2">
        <w:rPr>
          <w:rFonts w:cs="Arial"/>
          <w:szCs w:val="20"/>
          <w:lang w:val="en-NZ"/>
        </w:rPr>
        <w:t>) paid in two equal instalments</w:t>
      </w:r>
      <w:r w:rsidRPr="00EC0AE2">
        <w:rPr>
          <w:rFonts w:cs="Arial"/>
          <w:szCs w:val="20"/>
          <w:lang w:val="en-NZ"/>
        </w:rPr>
        <w:br/>
      </w:r>
      <w:r w:rsidR="0019022A">
        <w:rPr>
          <w:rFonts w:cs="Arial"/>
          <w:szCs w:val="20"/>
          <w:lang w:val="en-NZ"/>
        </w:rPr>
        <w:t>c</w:t>
      </w:r>
      <w:r w:rsidRPr="00EC0AE2">
        <w:rPr>
          <w:rFonts w:cs="Arial"/>
          <w:szCs w:val="20"/>
          <w:lang w:val="en-NZ"/>
        </w:rPr>
        <w:t xml:space="preserve">) paid by a </w:t>
      </w:r>
      <w:r w:rsidR="009E27CF">
        <w:rPr>
          <w:rFonts w:cs="Arial"/>
          <w:szCs w:val="20"/>
          <w:lang w:val="en-NZ"/>
        </w:rPr>
        <w:t xml:space="preserve">Student </w:t>
      </w:r>
      <w:r w:rsidRPr="00EC0AE2">
        <w:rPr>
          <w:rFonts w:cs="Arial"/>
          <w:szCs w:val="20"/>
          <w:lang w:val="en-NZ"/>
        </w:rPr>
        <w:t>Loan once processed</w:t>
      </w:r>
      <w:r w:rsidRPr="00EC0AE2">
        <w:rPr>
          <w:rFonts w:cs="Arial"/>
          <w:szCs w:val="20"/>
          <w:lang w:val="en-NZ"/>
        </w:rPr>
        <w:br/>
      </w:r>
      <w:r w:rsidR="0019022A">
        <w:rPr>
          <w:rFonts w:cs="Arial"/>
          <w:szCs w:val="20"/>
          <w:lang w:val="en-NZ"/>
        </w:rPr>
        <w:t>d</w:t>
      </w:r>
      <w:r w:rsidRPr="00EC0AE2">
        <w:rPr>
          <w:rFonts w:cs="Arial"/>
          <w:szCs w:val="20"/>
          <w:lang w:val="en-NZ"/>
        </w:rPr>
        <w:t xml:space="preserve">) paid in full at course </w:t>
      </w:r>
      <w:r w:rsidR="00837EAB">
        <w:rPr>
          <w:rFonts w:cs="Arial"/>
          <w:szCs w:val="20"/>
          <w:lang w:val="en-NZ"/>
        </w:rPr>
        <w:t xml:space="preserve">or programme </w:t>
      </w:r>
      <w:r w:rsidRPr="00EC0AE2">
        <w:rPr>
          <w:rFonts w:cs="Arial"/>
          <w:szCs w:val="20"/>
          <w:lang w:val="en-NZ"/>
        </w:rPr>
        <w:t>commencement</w:t>
      </w:r>
      <w:r w:rsidR="00837EAB">
        <w:rPr>
          <w:rFonts w:cs="Arial"/>
          <w:szCs w:val="20"/>
          <w:lang w:val="en-NZ"/>
        </w:rPr>
        <w:t xml:space="preserve"> and at the start of the year where annual fees are charged.</w:t>
      </w:r>
    </w:p>
    <w:p w14:paraId="5B94FEA6" w14:textId="3B3F8B1A" w:rsidR="00391F20" w:rsidRDefault="00391F20" w:rsidP="00391F20">
      <w:pPr>
        <w:pStyle w:val="BlockNumber"/>
        <w:ind w:left="1587" w:hanging="873"/>
        <w:rPr>
          <w:rFonts w:cs="Arial"/>
          <w:szCs w:val="20"/>
          <w:lang w:val="en-NZ"/>
        </w:rPr>
      </w:pPr>
      <w:r w:rsidRPr="0003653F">
        <w:rPr>
          <w:rFonts w:cs="Arial"/>
          <w:szCs w:val="20"/>
          <w:lang w:val="en-NZ"/>
        </w:rPr>
        <w:t xml:space="preserve">Instalment payments must be completed within the duration of the </w:t>
      </w:r>
      <w:r w:rsidR="0019022A">
        <w:rPr>
          <w:rFonts w:cs="Arial"/>
          <w:szCs w:val="20"/>
          <w:lang w:val="en-NZ"/>
        </w:rPr>
        <w:t xml:space="preserve">programme or </w:t>
      </w:r>
      <w:r w:rsidRPr="0003653F">
        <w:rPr>
          <w:rFonts w:cs="Arial"/>
          <w:szCs w:val="20"/>
          <w:lang w:val="en-NZ"/>
        </w:rPr>
        <w:t>course</w:t>
      </w:r>
      <w:r w:rsidR="00BE0ABA">
        <w:rPr>
          <w:rFonts w:cs="Arial"/>
          <w:szCs w:val="20"/>
          <w:lang w:val="en-NZ"/>
        </w:rPr>
        <w:t xml:space="preserve"> for course fees</w:t>
      </w:r>
      <w:r w:rsidR="00262459">
        <w:rPr>
          <w:rFonts w:cs="Arial"/>
          <w:szCs w:val="20"/>
          <w:lang w:val="en-NZ"/>
        </w:rPr>
        <w:t xml:space="preserve">. </w:t>
      </w:r>
    </w:p>
    <w:p w14:paraId="7AC585ED" w14:textId="77777777" w:rsidR="00736967" w:rsidRPr="00032FAF" w:rsidRDefault="00D72A1B">
      <w:pPr>
        <w:pStyle w:val="Heading2No"/>
        <w:rPr>
          <w:rFonts w:cs="Arial"/>
          <w:szCs w:val="20"/>
          <w:lang w:val="en-NZ"/>
        </w:rPr>
      </w:pPr>
      <w:r w:rsidRPr="00032FAF">
        <w:rPr>
          <w:rFonts w:cs="Arial"/>
          <w:szCs w:val="20"/>
          <w:lang w:val="en-NZ"/>
        </w:rPr>
        <w:t>Liability for unpaid fees</w:t>
      </w:r>
    </w:p>
    <w:p w14:paraId="06AFD4B4" w14:textId="58A0DCE6" w:rsidR="00736967" w:rsidRPr="0003653F" w:rsidRDefault="00893B2F">
      <w:pPr>
        <w:pStyle w:val="BlockNumber"/>
        <w:ind w:left="1587" w:hanging="873"/>
        <w:rPr>
          <w:rFonts w:cs="Arial"/>
          <w:szCs w:val="20"/>
          <w:lang w:val="en-NZ"/>
        </w:rPr>
      </w:pPr>
      <w:r>
        <w:rPr>
          <w:rFonts w:cs="Arial"/>
          <w:szCs w:val="20"/>
          <w:lang w:val="en-NZ"/>
        </w:rPr>
        <w:t>Learner</w:t>
      </w:r>
      <w:r w:rsidR="00D72A1B" w:rsidRPr="0003653F">
        <w:rPr>
          <w:rFonts w:cs="Arial"/>
          <w:szCs w:val="20"/>
          <w:lang w:val="en-NZ"/>
        </w:rPr>
        <w:t>s who do not pay their fees on time are liable for:</w:t>
      </w:r>
    </w:p>
    <w:p w14:paraId="227FBDC2" w14:textId="77777777" w:rsidR="00736967" w:rsidRPr="0003653F" w:rsidRDefault="00D72A1B" w:rsidP="00135CF0">
      <w:pPr>
        <w:pStyle w:val="Bullet1"/>
        <w:tabs>
          <w:tab w:val="clear" w:pos="1494"/>
        </w:tabs>
        <w:ind w:left="2127" w:hanging="426"/>
        <w:rPr>
          <w:rFonts w:cs="Arial"/>
          <w:lang w:val="en-NZ"/>
        </w:rPr>
      </w:pPr>
      <w:r w:rsidRPr="0003653F">
        <w:rPr>
          <w:rFonts w:cs="Arial"/>
          <w:lang w:val="en-NZ"/>
        </w:rPr>
        <w:t xml:space="preserve">All unpaid fees; and </w:t>
      </w:r>
    </w:p>
    <w:p w14:paraId="199F7014" w14:textId="77777777" w:rsidR="00736967" w:rsidRPr="0003653F" w:rsidRDefault="00D72A1B" w:rsidP="00135CF0">
      <w:pPr>
        <w:pStyle w:val="Bullet1"/>
        <w:tabs>
          <w:tab w:val="clear" w:pos="1494"/>
        </w:tabs>
        <w:ind w:left="2127" w:hanging="426"/>
        <w:rPr>
          <w:rFonts w:cs="Arial"/>
          <w:lang w:val="en-NZ"/>
        </w:rPr>
      </w:pPr>
      <w:r w:rsidRPr="0003653F">
        <w:rPr>
          <w:rFonts w:cs="Arial"/>
          <w:lang w:val="en-NZ"/>
        </w:rPr>
        <w:t xml:space="preserve">All external costs of collection from appointed agencies.  </w:t>
      </w:r>
    </w:p>
    <w:p w14:paraId="149B7660" w14:textId="77777777" w:rsidR="00736967" w:rsidRPr="00032FAF" w:rsidRDefault="00D72A1B">
      <w:pPr>
        <w:pStyle w:val="Heading2No"/>
        <w:rPr>
          <w:rFonts w:cs="Arial"/>
          <w:szCs w:val="20"/>
          <w:lang w:val="en-NZ"/>
        </w:rPr>
      </w:pPr>
      <w:r w:rsidRPr="00032FAF">
        <w:rPr>
          <w:rFonts w:cs="Arial"/>
          <w:szCs w:val="20"/>
          <w:lang w:val="en-NZ"/>
        </w:rPr>
        <w:t>Consequences of unpaid fees</w:t>
      </w:r>
    </w:p>
    <w:p w14:paraId="2B1902D0" w14:textId="0F2D2111" w:rsidR="00736967" w:rsidRPr="0003653F" w:rsidRDefault="00893B2F">
      <w:pPr>
        <w:pStyle w:val="BlockNumber"/>
        <w:ind w:left="1587" w:hanging="873"/>
        <w:rPr>
          <w:rFonts w:cs="Arial"/>
          <w:szCs w:val="20"/>
          <w:lang w:val="en-NZ"/>
        </w:rPr>
      </w:pPr>
      <w:r>
        <w:rPr>
          <w:rFonts w:cs="Arial"/>
          <w:szCs w:val="20"/>
          <w:lang w:val="en-NZ"/>
        </w:rPr>
        <w:t>Learner</w:t>
      </w:r>
      <w:r w:rsidR="00D72A1B" w:rsidRPr="0003653F">
        <w:rPr>
          <w:rFonts w:cs="Arial"/>
          <w:szCs w:val="20"/>
          <w:lang w:val="en-NZ"/>
        </w:rPr>
        <w:t xml:space="preserve">s who fail to pay their tuition fees and/or compulsory non-tuition fees are in breach of their enrolment agreement with </w:t>
      </w:r>
      <w:r>
        <w:rPr>
          <w:rFonts w:cs="Arial"/>
          <w:szCs w:val="20"/>
          <w:lang w:val="en-NZ"/>
        </w:rPr>
        <w:t>ATNZ</w:t>
      </w:r>
      <w:r w:rsidR="00D72A1B" w:rsidRPr="0003653F">
        <w:rPr>
          <w:rFonts w:cs="Arial"/>
          <w:szCs w:val="20"/>
          <w:lang w:val="en-NZ"/>
        </w:rPr>
        <w:t xml:space="preserve">.  </w:t>
      </w:r>
      <w:r w:rsidR="00F645C9" w:rsidRPr="0003653F">
        <w:rPr>
          <w:rFonts w:cs="Arial"/>
          <w:szCs w:val="20"/>
          <w:lang w:val="en-NZ"/>
        </w:rPr>
        <w:t>This</w:t>
      </w:r>
      <w:r w:rsidR="0008437B" w:rsidRPr="0003653F">
        <w:rPr>
          <w:rFonts w:cs="Arial"/>
          <w:szCs w:val="20"/>
          <w:lang w:val="en-NZ"/>
        </w:rPr>
        <w:t xml:space="preserve"> may</w:t>
      </w:r>
      <w:r w:rsidR="00D72A1B" w:rsidRPr="0003653F">
        <w:rPr>
          <w:rFonts w:cs="Arial"/>
          <w:szCs w:val="20"/>
          <w:lang w:val="en-NZ"/>
        </w:rPr>
        <w:t xml:space="preserve"> invalidate</w:t>
      </w:r>
      <w:r w:rsidR="00F90276" w:rsidRPr="0003653F">
        <w:rPr>
          <w:rFonts w:cs="Arial"/>
          <w:szCs w:val="20"/>
          <w:lang w:val="en-NZ"/>
        </w:rPr>
        <w:t xml:space="preserve"> their</w:t>
      </w:r>
      <w:r w:rsidR="00D72A1B" w:rsidRPr="0003653F">
        <w:rPr>
          <w:rFonts w:cs="Arial"/>
          <w:szCs w:val="20"/>
          <w:lang w:val="en-NZ"/>
        </w:rPr>
        <w:t xml:space="preserve"> </w:t>
      </w:r>
      <w:proofErr w:type="gramStart"/>
      <w:r w:rsidR="00D72A1B" w:rsidRPr="0003653F">
        <w:rPr>
          <w:rFonts w:cs="Arial"/>
          <w:szCs w:val="20"/>
          <w:lang w:val="en-NZ"/>
        </w:rPr>
        <w:t>enrolment</w:t>
      </w:r>
      <w:r w:rsidR="00F4318D" w:rsidRPr="0003653F">
        <w:rPr>
          <w:rFonts w:cs="Arial"/>
          <w:szCs w:val="20"/>
          <w:lang w:val="en-NZ"/>
        </w:rPr>
        <w:t>, unless</w:t>
      </w:r>
      <w:proofErr w:type="gramEnd"/>
      <w:r w:rsidR="00F4318D" w:rsidRPr="0003653F">
        <w:rPr>
          <w:rFonts w:cs="Arial"/>
          <w:szCs w:val="20"/>
          <w:lang w:val="en-NZ"/>
        </w:rPr>
        <w:t xml:space="preserve"> </w:t>
      </w:r>
      <w:r>
        <w:rPr>
          <w:rFonts w:cs="Arial"/>
          <w:szCs w:val="20"/>
          <w:lang w:val="en-NZ"/>
        </w:rPr>
        <w:t>learner</w:t>
      </w:r>
      <w:r w:rsidR="00B945C1" w:rsidRPr="0003653F">
        <w:rPr>
          <w:rFonts w:cs="Arial"/>
          <w:szCs w:val="20"/>
          <w:lang w:val="en-NZ"/>
        </w:rPr>
        <w:t>s</w:t>
      </w:r>
      <w:r w:rsidR="00B10F21" w:rsidRPr="0003653F">
        <w:rPr>
          <w:rFonts w:cs="Arial"/>
          <w:szCs w:val="20"/>
          <w:lang w:val="en-NZ"/>
        </w:rPr>
        <w:t xml:space="preserve"> </w:t>
      </w:r>
      <w:r w:rsidR="00B945C1" w:rsidRPr="0003653F">
        <w:rPr>
          <w:rFonts w:cs="Arial"/>
          <w:szCs w:val="20"/>
          <w:lang w:val="en-NZ"/>
        </w:rPr>
        <w:t xml:space="preserve">have </w:t>
      </w:r>
      <w:r w:rsidR="00F4318D" w:rsidRPr="0003653F">
        <w:rPr>
          <w:rFonts w:cs="Arial"/>
          <w:szCs w:val="20"/>
          <w:lang w:val="en-NZ"/>
        </w:rPr>
        <w:t xml:space="preserve">made a </w:t>
      </w:r>
      <w:r w:rsidR="004539C1" w:rsidRPr="0003653F">
        <w:rPr>
          <w:rFonts w:cs="Arial"/>
          <w:szCs w:val="20"/>
          <w:lang w:val="en-NZ"/>
        </w:rPr>
        <w:t>commit</w:t>
      </w:r>
      <w:r w:rsidR="00996BA3" w:rsidRPr="0003653F">
        <w:rPr>
          <w:rFonts w:cs="Arial"/>
          <w:szCs w:val="20"/>
          <w:lang w:val="en-NZ"/>
        </w:rPr>
        <w:t>m</w:t>
      </w:r>
      <w:r w:rsidR="004539C1" w:rsidRPr="0003653F">
        <w:rPr>
          <w:rFonts w:cs="Arial"/>
          <w:szCs w:val="20"/>
          <w:lang w:val="en-NZ"/>
        </w:rPr>
        <w:t>ent</w:t>
      </w:r>
      <w:r w:rsidR="00F4318D" w:rsidRPr="0003653F">
        <w:rPr>
          <w:rFonts w:cs="Arial"/>
          <w:szCs w:val="20"/>
          <w:lang w:val="en-NZ"/>
        </w:rPr>
        <w:t xml:space="preserve"> to pay their fees (either in writing or through attendance </w:t>
      </w:r>
      <w:r w:rsidR="00B83B21" w:rsidRPr="0003653F">
        <w:rPr>
          <w:rFonts w:cs="Arial"/>
          <w:szCs w:val="20"/>
          <w:lang w:val="en-NZ"/>
        </w:rPr>
        <w:t>i</w:t>
      </w:r>
      <w:r w:rsidR="00F4318D" w:rsidRPr="0003653F">
        <w:rPr>
          <w:rFonts w:cs="Arial"/>
          <w:szCs w:val="20"/>
          <w:lang w:val="en-NZ"/>
        </w:rPr>
        <w:t>n the course).</w:t>
      </w:r>
    </w:p>
    <w:p w14:paraId="798DB967" w14:textId="0FFAABA4" w:rsidR="00736967" w:rsidRPr="0003653F" w:rsidRDefault="00D72A1B">
      <w:pPr>
        <w:pStyle w:val="BlockNumber"/>
        <w:ind w:left="1587" w:hanging="873"/>
        <w:rPr>
          <w:rFonts w:cs="Arial"/>
          <w:szCs w:val="20"/>
          <w:lang w:val="en-NZ"/>
        </w:rPr>
      </w:pPr>
      <w:r w:rsidRPr="0003653F">
        <w:rPr>
          <w:rFonts w:cs="Arial"/>
          <w:szCs w:val="20"/>
          <w:lang w:val="en-NZ"/>
        </w:rPr>
        <w:lastRenderedPageBreak/>
        <w:t xml:space="preserve">Until </w:t>
      </w:r>
      <w:r w:rsidR="00893B2F">
        <w:rPr>
          <w:rFonts w:cs="Arial"/>
          <w:szCs w:val="20"/>
          <w:lang w:val="en-NZ"/>
        </w:rPr>
        <w:t>learner</w:t>
      </w:r>
      <w:r w:rsidRPr="0003653F">
        <w:rPr>
          <w:rFonts w:cs="Arial"/>
          <w:szCs w:val="20"/>
          <w:lang w:val="en-NZ"/>
        </w:rPr>
        <w:t xml:space="preserve">s have paid </w:t>
      </w:r>
      <w:r w:rsidR="00DB7C37">
        <w:rPr>
          <w:rFonts w:cs="Arial"/>
          <w:szCs w:val="20"/>
          <w:lang w:val="en-NZ"/>
        </w:rPr>
        <w:t xml:space="preserve">all fees due to </w:t>
      </w:r>
      <w:r w:rsidR="00893B2F">
        <w:rPr>
          <w:rFonts w:cs="Arial"/>
          <w:szCs w:val="20"/>
          <w:lang w:val="en-NZ"/>
        </w:rPr>
        <w:t>ATNZ</w:t>
      </w:r>
      <w:r w:rsidR="00DB7C37">
        <w:rPr>
          <w:rFonts w:cs="Arial"/>
          <w:szCs w:val="20"/>
          <w:lang w:val="en-NZ"/>
        </w:rPr>
        <w:t xml:space="preserve"> </w:t>
      </w:r>
      <w:r w:rsidRPr="0003653F">
        <w:rPr>
          <w:rFonts w:cs="Arial"/>
          <w:szCs w:val="20"/>
          <w:lang w:val="en-NZ"/>
        </w:rPr>
        <w:t>in full they will not:</w:t>
      </w:r>
    </w:p>
    <w:p w14:paraId="4D0EAE6F" w14:textId="42ABC4C6" w:rsidR="00736967" w:rsidRPr="0003653F" w:rsidRDefault="00D72A1B" w:rsidP="00135CF0">
      <w:pPr>
        <w:pStyle w:val="Bullet1"/>
        <w:tabs>
          <w:tab w:val="clear" w:pos="1494"/>
        </w:tabs>
        <w:ind w:left="2127" w:hanging="426"/>
        <w:rPr>
          <w:rFonts w:cs="Arial"/>
          <w:lang w:val="en-NZ"/>
        </w:rPr>
      </w:pPr>
      <w:r w:rsidRPr="0003653F">
        <w:rPr>
          <w:rFonts w:cs="Arial"/>
          <w:lang w:val="en-NZ"/>
        </w:rPr>
        <w:t>Have credits</w:t>
      </w:r>
      <w:r w:rsidR="00540BAD">
        <w:rPr>
          <w:rFonts w:cs="Arial"/>
          <w:lang w:val="en-NZ"/>
        </w:rPr>
        <w:t xml:space="preserve"> reported to NZQA or </w:t>
      </w:r>
      <w:r w:rsidRPr="0003653F">
        <w:rPr>
          <w:rFonts w:cs="Arial"/>
          <w:lang w:val="en-NZ"/>
        </w:rPr>
        <w:t xml:space="preserve">recorded on their official record of </w:t>
      </w:r>
      <w:proofErr w:type="gramStart"/>
      <w:r w:rsidRPr="0003653F">
        <w:rPr>
          <w:rFonts w:cs="Arial"/>
          <w:lang w:val="en-NZ"/>
        </w:rPr>
        <w:t>learning;</w:t>
      </w:r>
      <w:proofErr w:type="gramEnd"/>
    </w:p>
    <w:p w14:paraId="4746C8A4" w14:textId="0F2E002C" w:rsidR="00736967" w:rsidRPr="0003653F" w:rsidRDefault="00D72A1B" w:rsidP="00135CF0">
      <w:pPr>
        <w:pStyle w:val="Bullet1"/>
        <w:tabs>
          <w:tab w:val="clear" w:pos="1494"/>
        </w:tabs>
        <w:ind w:left="2127" w:hanging="426"/>
        <w:rPr>
          <w:rFonts w:cs="Arial"/>
          <w:lang w:val="en-NZ"/>
        </w:rPr>
      </w:pPr>
      <w:r w:rsidRPr="0003653F">
        <w:rPr>
          <w:rFonts w:cs="Arial"/>
          <w:lang w:val="en-NZ"/>
        </w:rPr>
        <w:t xml:space="preserve">Be </w:t>
      </w:r>
      <w:r w:rsidR="00B5771C" w:rsidRPr="0003653F">
        <w:rPr>
          <w:rFonts w:cs="Arial"/>
          <w:lang w:val="en-NZ"/>
        </w:rPr>
        <w:t xml:space="preserve">enrolled </w:t>
      </w:r>
      <w:r w:rsidR="00862058" w:rsidRPr="0003653F">
        <w:rPr>
          <w:rFonts w:cs="Arial"/>
          <w:lang w:val="en-NZ"/>
        </w:rPr>
        <w:t xml:space="preserve">in </w:t>
      </w:r>
      <w:r w:rsidRPr="0003653F">
        <w:rPr>
          <w:rFonts w:cs="Arial"/>
          <w:lang w:val="en-NZ"/>
        </w:rPr>
        <w:t>further programmes</w:t>
      </w:r>
      <w:r w:rsidR="00540BAD">
        <w:rPr>
          <w:rFonts w:cs="Arial"/>
          <w:lang w:val="en-NZ"/>
        </w:rPr>
        <w:t xml:space="preserve"> </w:t>
      </w:r>
      <w:r w:rsidR="00DB44FC" w:rsidRPr="0003653F">
        <w:rPr>
          <w:rFonts w:cs="Arial"/>
          <w:lang w:val="en-NZ"/>
        </w:rPr>
        <w:t xml:space="preserve">or </w:t>
      </w:r>
      <w:proofErr w:type="gramStart"/>
      <w:r w:rsidRPr="0003653F">
        <w:rPr>
          <w:rFonts w:cs="Arial"/>
          <w:lang w:val="en-NZ"/>
        </w:rPr>
        <w:t>courses;</w:t>
      </w:r>
      <w:proofErr w:type="gramEnd"/>
      <w:r w:rsidRPr="0003653F">
        <w:rPr>
          <w:rFonts w:cs="Arial"/>
          <w:lang w:val="en-NZ"/>
        </w:rPr>
        <w:t xml:space="preserve"> </w:t>
      </w:r>
    </w:p>
    <w:p w14:paraId="018C2023" w14:textId="77777777" w:rsidR="00736967" w:rsidRPr="0003653F" w:rsidRDefault="00D72A1B" w:rsidP="00135CF0">
      <w:pPr>
        <w:pStyle w:val="Bullet1"/>
        <w:tabs>
          <w:tab w:val="clear" w:pos="1494"/>
        </w:tabs>
        <w:ind w:left="2127" w:hanging="426"/>
        <w:rPr>
          <w:rFonts w:cs="Arial"/>
          <w:lang w:val="en-NZ"/>
        </w:rPr>
      </w:pPr>
      <w:r w:rsidRPr="0003653F">
        <w:rPr>
          <w:rFonts w:cs="Arial"/>
          <w:lang w:val="en-NZ"/>
        </w:rPr>
        <w:t xml:space="preserve">Be </w:t>
      </w:r>
      <w:r w:rsidR="00BC37D0" w:rsidRPr="0003653F">
        <w:rPr>
          <w:rFonts w:cs="Arial"/>
          <w:lang w:val="en-NZ"/>
        </w:rPr>
        <w:t xml:space="preserve">granted or </w:t>
      </w:r>
      <w:r w:rsidRPr="0003653F">
        <w:rPr>
          <w:rFonts w:cs="Arial"/>
          <w:lang w:val="en-NZ"/>
        </w:rPr>
        <w:t>allowed to graduate with any award;</w:t>
      </w:r>
      <w:r w:rsidR="00B548B7" w:rsidRPr="0003653F">
        <w:rPr>
          <w:rFonts w:cs="Arial"/>
          <w:lang w:val="en-NZ"/>
        </w:rPr>
        <w:t xml:space="preserve"> </w:t>
      </w:r>
      <w:r w:rsidR="00C52C7F" w:rsidRPr="0003653F">
        <w:rPr>
          <w:rFonts w:cs="Arial"/>
          <w:lang w:val="en-NZ"/>
        </w:rPr>
        <w:t>or</w:t>
      </w:r>
    </w:p>
    <w:p w14:paraId="77B9890C" w14:textId="77777777" w:rsidR="00736967" w:rsidRPr="0003653F" w:rsidRDefault="00D72A1B" w:rsidP="00135CF0">
      <w:pPr>
        <w:pStyle w:val="Bullet1"/>
        <w:tabs>
          <w:tab w:val="clear" w:pos="1494"/>
        </w:tabs>
        <w:ind w:left="2127" w:hanging="426"/>
        <w:rPr>
          <w:rFonts w:cs="Arial"/>
          <w:lang w:val="en-NZ"/>
        </w:rPr>
      </w:pPr>
      <w:r w:rsidRPr="0003653F">
        <w:rPr>
          <w:rFonts w:cs="Arial"/>
          <w:lang w:val="en-NZ"/>
        </w:rPr>
        <w:t>Have their academic records transferred.</w:t>
      </w:r>
    </w:p>
    <w:p w14:paraId="23CB8341" w14:textId="33E7B997" w:rsidR="00736967" w:rsidRDefault="00893B2F">
      <w:pPr>
        <w:pStyle w:val="BlockNumber"/>
        <w:ind w:left="1587" w:hanging="873"/>
        <w:rPr>
          <w:rFonts w:cs="Arial"/>
          <w:szCs w:val="20"/>
          <w:lang w:val="en-NZ"/>
        </w:rPr>
      </w:pPr>
      <w:r>
        <w:rPr>
          <w:rFonts w:cs="Arial"/>
          <w:szCs w:val="20"/>
          <w:lang w:val="en-NZ"/>
        </w:rPr>
        <w:t>ATNZ</w:t>
      </w:r>
      <w:r w:rsidR="00D72A1B" w:rsidRPr="0003653F">
        <w:rPr>
          <w:rFonts w:cs="Arial"/>
          <w:szCs w:val="20"/>
          <w:lang w:val="en-NZ"/>
        </w:rPr>
        <w:t xml:space="preserve"> </w:t>
      </w:r>
      <w:r w:rsidR="00A55C59" w:rsidRPr="0003653F">
        <w:rPr>
          <w:rFonts w:cs="Arial"/>
          <w:szCs w:val="20"/>
          <w:lang w:val="en-NZ"/>
        </w:rPr>
        <w:t xml:space="preserve">shall </w:t>
      </w:r>
      <w:r w:rsidR="00D72A1B" w:rsidRPr="0003653F">
        <w:rPr>
          <w:rFonts w:cs="Arial"/>
          <w:szCs w:val="20"/>
          <w:lang w:val="en-NZ"/>
        </w:rPr>
        <w:t xml:space="preserve">enforce </w:t>
      </w:r>
      <w:r w:rsidR="004539C1" w:rsidRPr="0003653F">
        <w:rPr>
          <w:rFonts w:cs="Arial"/>
          <w:szCs w:val="20"/>
          <w:lang w:val="en-NZ"/>
        </w:rPr>
        <w:t>commitments</w:t>
      </w:r>
      <w:r w:rsidR="00D72A1B" w:rsidRPr="0003653F">
        <w:rPr>
          <w:rFonts w:cs="Arial"/>
          <w:szCs w:val="20"/>
          <w:lang w:val="en-NZ"/>
        </w:rPr>
        <w:t xml:space="preserve"> to pay unpaid fees (</w:t>
      </w:r>
      <w:proofErr w:type="gramStart"/>
      <w:r w:rsidR="00D72A1B" w:rsidRPr="0003653F">
        <w:rPr>
          <w:rFonts w:cs="Arial"/>
          <w:szCs w:val="20"/>
          <w:lang w:val="en-NZ"/>
        </w:rPr>
        <w:t>e.g.</w:t>
      </w:r>
      <w:proofErr w:type="gramEnd"/>
      <w:r w:rsidR="00D72A1B" w:rsidRPr="0003653F">
        <w:rPr>
          <w:rFonts w:cs="Arial"/>
          <w:szCs w:val="20"/>
          <w:lang w:val="en-NZ"/>
        </w:rPr>
        <w:t xml:space="preserve"> via a debt collection agency).</w:t>
      </w:r>
    </w:p>
    <w:p w14:paraId="51771739" w14:textId="173EAABE" w:rsidR="00327FB7" w:rsidRPr="0003653F" w:rsidRDefault="00893B2F">
      <w:pPr>
        <w:pStyle w:val="BlockNumber"/>
        <w:ind w:left="1587" w:hanging="873"/>
        <w:rPr>
          <w:rFonts w:cs="Arial"/>
          <w:szCs w:val="20"/>
          <w:lang w:val="en-NZ"/>
        </w:rPr>
      </w:pPr>
      <w:r>
        <w:rPr>
          <w:rFonts w:cs="Arial"/>
          <w:szCs w:val="20"/>
          <w:lang w:val="en-NZ"/>
        </w:rPr>
        <w:t>ATNZ</w:t>
      </w:r>
      <w:r w:rsidR="00327FB7">
        <w:rPr>
          <w:rFonts w:cs="Arial"/>
          <w:szCs w:val="20"/>
          <w:lang w:val="en-NZ"/>
        </w:rPr>
        <w:t xml:space="preserve"> may cancel the enrolment of any </w:t>
      </w:r>
      <w:r>
        <w:rPr>
          <w:rFonts w:cs="Arial"/>
          <w:szCs w:val="20"/>
          <w:lang w:val="en-NZ"/>
        </w:rPr>
        <w:t>learner</w:t>
      </w:r>
      <w:r w:rsidR="00327FB7">
        <w:rPr>
          <w:rFonts w:cs="Arial"/>
          <w:szCs w:val="20"/>
          <w:lang w:val="en-NZ"/>
        </w:rPr>
        <w:t xml:space="preserve"> with unpaid fees.</w:t>
      </w:r>
    </w:p>
    <w:p w14:paraId="60C2D1E7" w14:textId="77777777" w:rsidR="00736967" w:rsidRPr="00032FAF" w:rsidRDefault="005B449A">
      <w:pPr>
        <w:pStyle w:val="Heading2No"/>
        <w:rPr>
          <w:rFonts w:cs="Arial"/>
          <w:szCs w:val="20"/>
          <w:lang w:val="en-NZ"/>
        </w:rPr>
      </w:pPr>
      <w:r w:rsidRPr="00032FAF">
        <w:rPr>
          <w:rFonts w:cs="Arial"/>
          <w:szCs w:val="20"/>
          <w:lang w:val="en-NZ"/>
        </w:rPr>
        <w:t>Fees paid by a company</w:t>
      </w:r>
      <w:r w:rsidR="000801F9" w:rsidRPr="00032FAF">
        <w:rPr>
          <w:rFonts w:cs="Arial"/>
          <w:szCs w:val="20"/>
          <w:lang w:val="en-NZ"/>
        </w:rPr>
        <w:t xml:space="preserve"> or other </w:t>
      </w:r>
      <w:proofErr w:type="gramStart"/>
      <w:r w:rsidR="000801F9" w:rsidRPr="00032FAF">
        <w:rPr>
          <w:rFonts w:cs="Arial"/>
          <w:szCs w:val="20"/>
          <w:lang w:val="en-NZ"/>
        </w:rPr>
        <w:t>third</w:t>
      </w:r>
      <w:r w:rsidR="00C07B4D" w:rsidRPr="00032FAF">
        <w:rPr>
          <w:rFonts w:cs="Arial"/>
          <w:szCs w:val="20"/>
          <w:lang w:val="en-NZ"/>
        </w:rPr>
        <w:t>-</w:t>
      </w:r>
      <w:r w:rsidR="000801F9" w:rsidRPr="00032FAF">
        <w:rPr>
          <w:rFonts w:cs="Arial"/>
          <w:szCs w:val="20"/>
          <w:lang w:val="en-NZ"/>
        </w:rPr>
        <w:t>part</w:t>
      </w:r>
      <w:r w:rsidR="006939E1" w:rsidRPr="00032FAF">
        <w:rPr>
          <w:rFonts w:cs="Arial"/>
          <w:szCs w:val="20"/>
          <w:lang w:val="en-NZ"/>
        </w:rPr>
        <w:t>y</w:t>
      </w:r>
      <w:proofErr w:type="gramEnd"/>
    </w:p>
    <w:p w14:paraId="2CFB6FD9" w14:textId="76CD113D" w:rsidR="001318EF" w:rsidRPr="00EC0DB8" w:rsidRDefault="005B449A" w:rsidP="00A55C59">
      <w:pPr>
        <w:pStyle w:val="BlockNumber"/>
        <w:ind w:left="1587" w:hanging="873"/>
        <w:rPr>
          <w:rFonts w:cs="Arial"/>
          <w:szCs w:val="20"/>
        </w:rPr>
      </w:pPr>
      <w:r w:rsidRPr="0003653F">
        <w:rPr>
          <w:rFonts w:cs="Arial"/>
          <w:szCs w:val="20"/>
          <w:lang w:val="en-NZ"/>
        </w:rPr>
        <w:t xml:space="preserve">Companies </w:t>
      </w:r>
      <w:r w:rsidR="00D12549" w:rsidRPr="0003653F">
        <w:rPr>
          <w:rFonts w:cs="Arial"/>
          <w:szCs w:val="20"/>
          <w:lang w:val="en-NZ"/>
        </w:rPr>
        <w:t xml:space="preserve">or other third </w:t>
      </w:r>
      <w:r w:rsidR="0094520D" w:rsidRPr="0003653F">
        <w:rPr>
          <w:rFonts w:cs="Arial"/>
          <w:szCs w:val="20"/>
          <w:lang w:val="en-NZ"/>
        </w:rPr>
        <w:t>parties,</w:t>
      </w:r>
      <w:r w:rsidR="00D12549" w:rsidRPr="0003653F">
        <w:rPr>
          <w:rFonts w:cs="Arial"/>
          <w:szCs w:val="20"/>
          <w:lang w:val="en-NZ"/>
        </w:rPr>
        <w:t xml:space="preserve"> </w:t>
      </w:r>
      <w:r w:rsidRPr="0003653F">
        <w:rPr>
          <w:rFonts w:cs="Arial"/>
          <w:szCs w:val="20"/>
          <w:lang w:val="en-NZ"/>
        </w:rPr>
        <w:t xml:space="preserve">who </w:t>
      </w:r>
      <w:r w:rsidR="001937B2" w:rsidRPr="0003653F">
        <w:rPr>
          <w:rFonts w:cs="Arial"/>
          <w:szCs w:val="20"/>
          <w:lang w:val="en-NZ"/>
        </w:rPr>
        <w:t xml:space="preserve">have </w:t>
      </w:r>
      <w:r w:rsidRPr="0003653F">
        <w:rPr>
          <w:rFonts w:cs="Arial"/>
          <w:szCs w:val="20"/>
          <w:lang w:val="en-NZ"/>
        </w:rPr>
        <w:t>confirm</w:t>
      </w:r>
      <w:r w:rsidR="001937B2" w:rsidRPr="0003653F">
        <w:rPr>
          <w:rFonts w:cs="Arial"/>
          <w:szCs w:val="20"/>
          <w:lang w:val="en-NZ"/>
        </w:rPr>
        <w:t>ed</w:t>
      </w:r>
      <w:r w:rsidRPr="0003653F">
        <w:rPr>
          <w:rFonts w:cs="Arial"/>
          <w:szCs w:val="20"/>
          <w:lang w:val="en-NZ"/>
        </w:rPr>
        <w:t xml:space="preserve"> that they are paying </w:t>
      </w:r>
      <w:r w:rsidR="002F764A" w:rsidRPr="0003653F">
        <w:rPr>
          <w:rFonts w:cs="Arial"/>
          <w:szCs w:val="20"/>
          <w:lang w:val="en-NZ"/>
        </w:rPr>
        <w:t xml:space="preserve">a </w:t>
      </w:r>
      <w:r w:rsidR="00893B2F">
        <w:rPr>
          <w:rFonts w:cs="Arial"/>
          <w:szCs w:val="20"/>
          <w:lang w:val="en-NZ"/>
        </w:rPr>
        <w:t>learner</w:t>
      </w:r>
      <w:r w:rsidR="002F764A" w:rsidRPr="0003653F">
        <w:rPr>
          <w:rFonts w:cs="Arial"/>
          <w:szCs w:val="20"/>
          <w:lang w:val="en-NZ"/>
        </w:rPr>
        <w:t>’</w:t>
      </w:r>
      <w:r w:rsidRPr="0003653F">
        <w:rPr>
          <w:rFonts w:cs="Arial"/>
          <w:szCs w:val="20"/>
          <w:lang w:val="en-NZ"/>
        </w:rPr>
        <w:t>s fees by producing an order number or a letter confirming payment, are liable for any outstanding fees</w:t>
      </w:r>
      <w:r w:rsidR="00F90276" w:rsidRPr="0003653F">
        <w:rPr>
          <w:rFonts w:cs="Arial"/>
          <w:szCs w:val="20"/>
          <w:lang w:val="en-NZ"/>
        </w:rPr>
        <w:t>,</w:t>
      </w:r>
      <w:r w:rsidRPr="0003653F">
        <w:rPr>
          <w:rFonts w:cs="Arial"/>
          <w:szCs w:val="20"/>
          <w:lang w:val="en-NZ"/>
        </w:rPr>
        <w:t xml:space="preserve"> including where </w:t>
      </w:r>
      <w:r w:rsidR="002F764A" w:rsidRPr="0003653F">
        <w:rPr>
          <w:rFonts w:cs="Arial"/>
          <w:szCs w:val="20"/>
          <w:lang w:val="en-NZ"/>
        </w:rPr>
        <w:t xml:space="preserve">the </w:t>
      </w:r>
      <w:r w:rsidR="00893B2F">
        <w:rPr>
          <w:rFonts w:cs="Arial"/>
          <w:szCs w:val="20"/>
          <w:lang w:val="en-NZ"/>
        </w:rPr>
        <w:t>learner</w:t>
      </w:r>
      <w:r w:rsidRPr="0003653F">
        <w:rPr>
          <w:rFonts w:cs="Arial"/>
          <w:szCs w:val="20"/>
          <w:lang w:val="en-NZ"/>
        </w:rPr>
        <w:t xml:space="preserve"> withdraw</w:t>
      </w:r>
      <w:r w:rsidR="003E72E4" w:rsidRPr="0003653F">
        <w:rPr>
          <w:rFonts w:cs="Arial"/>
          <w:szCs w:val="20"/>
          <w:lang w:val="en-NZ"/>
        </w:rPr>
        <w:t>s</w:t>
      </w:r>
      <w:r w:rsidRPr="0003653F">
        <w:rPr>
          <w:rFonts w:cs="Arial"/>
          <w:szCs w:val="20"/>
          <w:lang w:val="en-NZ"/>
        </w:rPr>
        <w:t xml:space="preserve"> or transfer</w:t>
      </w:r>
      <w:r w:rsidR="003E72E4" w:rsidRPr="0003653F">
        <w:rPr>
          <w:rFonts w:cs="Arial"/>
          <w:szCs w:val="20"/>
          <w:lang w:val="en-NZ"/>
        </w:rPr>
        <w:t>s</w:t>
      </w:r>
      <w:r w:rsidR="00F90276" w:rsidRPr="0003653F">
        <w:rPr>
          <w:rFonts w:cs="Arial"/>
          <w:szCs w:val="20"/>
          <w:lang w:val="en-NZ"/>
        </w:rPr>
        <w:t xml:space="preserve"> their enrolment</w:t>
      </w:r>
      <w:r w:rsidRPr="0003653F">
        <w:rPr>
          <w:rFonts w:cs="Arial"/>
          <w:szCs w:val="20"/>
          <w:lang w:val="en-NZ"/>
        </w:rPr>
        <w:t xml:space="preserve">. </w:t>
      </w:r>
      <w:r w:rsidR="00B10F21" w:rsidRPr="0003653F">
        <w:rPr>
          <w:rFonts w:cs="Arial"/>
          <w:szCs w:val="20"/>
          <w:lang w:val="en-NZ"/>
        </w:rPr>
        <w:t xml:space="preserve"> </w:t>
      </w:r>
      <w:r w:rsidRPr="0003653F">
        <w:rPr>
          <w:rFonts w:cs="Arial"/>
          <w:szCs w:val="20"/>
          <w:lang w:val="en-NZ"/>
        </w:rPr>
        <w:t xml:space="preserve">This applies even if the </w:t>
      </w:r>
      <w:r w:rsidR="00893B2F">
        <w:rPr>
          <w:rFonts w:cs="Arial"/>
          <w:szCs w:val="20"/>
          <w:lang w:val="en-NZ"/>
        </w:rPr>
        <w:t>learner</w:t>
      </w:r>
      <w:r w:rsidRPr="0003653F">
        <w:rPr>
          <w:rFonts w:cs="Arial"/>
          <w:szCs w:val="20"/>
          <w:lang w:val="en-NZ"/>
        </w:rPr>
        <w:t xml:space="preserve"> no longer works for that company.</w:t>
      </w:r>
      <w:r w:rsidR="00A55C59" w:rsidRPr="0003653F">
        <w:rPr>
          <w:rFonts w:cs="Arial"/>
          <w:szCs w:val="20"/>
          <w:lang w:val="en-NZ"/>
        </w:rPr>
        <w:t xml:space="preserve">  </w:t>
      </w:r>
    </w:p>
    <w:p w14:paraId="341B3E68" w14:textId="1435EF54" w:rsidR="00EC0DB8" w:rsidRDefault="00EC0DB8" w:rsidP="00EC0DB8">
      <w:pPr>
        <w:pStyle w:val="BlockNumber"/>
        <w:numPr>
          <w:ilvl w:val="0"/>
          <w:numId w:val="0"/>
        </w:numPr>
        <w:ind w:left="1587"/>
        <w:rPr>
          <w:rFonts w:cs="Arial"/>
          <w:szCs w:val="20"/>
          <w:lang w:val="en-NZ"/>
        </w:rPr>
      </w:pPr>
    </w:p>
    <w:p w14:paraId="742B314B" w14:textId="77777777" w:rsidR="00EC0DB8" w:rsidRPr="001318EF" w:rsidRDefault="00EC0DB8" w:rsidP="00EC0DB8">
      <w:pPr>
        <w:pStyle w:val="BlockNumber"/>
        <w:numPr>
          <w:ilvl w:val="0"/>
          <w:numId w:val="0"/>
        </w:numPr>
        <w:ind w:left="1587"/>
        <w:rPr>
          <w:rFonts w:cs="Arial"/>
          <w:szCs w:val="20"/>
        </w:rPr>
      </w:pPr>
    </w:p>
    <w:p w14:paraId="780D1B02" w14:textId="77777777" w:rsidR="00D52356" w:rsidRPr="00032FAF" w:rsidRDefault="001E07DB" w:rsidP="004337B2">
      <w:pPr>
        <w:pStyle w:val="Heading1No"/>
        <w:rPr>
          <w:lang w:val="en-NZ"/>
        </w:rPr>
      </w:pPr>
      <w:bookmarkStart w:id="15" w:name="_Toc352757475"/>
      <w:bookmarkStart w:id="16" w:name="_Toc352763800"/>
      <w:bookmarkStart w:id="17" w:name="_Toc352838264"/>
      <w:bookmarkStart w:id="18" w:name="_Toc352858395"/>
      <w:bookmarkStart w:id="19" w:name="_Toc352741615"/>
      <w:bookmarkStart w:id="20" w:name="_Toc352763801"/>
      <w:bookmarkStart w:id="21" w:name="_Toc105753598"/>
      <w:bookmarkEnd w:id="15"/>
      <w:bookmarkEnd w:id="16"/>
      <w:bookmarkEnd w:id="17"/>
      <w:bookmarkEnd w:id="18"/>
      <w:r w:rsidRPr="004337B2">
        <w:t>Cancellation</w:t>
      </w:r>
      <w:r w:rsidR="00CF1420" w:rsidRPr="004337B2">
        <w:t>s</w:t>
      </w:r>
      <w:r w:rsidR="005650E3" w:rsidRPr="00032FAF">
        <w:rPr>
          <w:lang w:val="en-NZ"/>
        </w:rPr>
        <w:t>, Postponement</w:t>
      </w:r>
      <w:r w:rsidR="00CF1420" w:rsidRPr="00032FAF">
        <w:rPr>
          <w:lang w:val="en-NZ"/>
        </w:rPr>
        <w:t xml:space="preserve">s and </w:t>
      </w:r>
      <w:r w:rsidRPr="00032FAF">
        <w:rPr>
          <w:lang w:val="en-NZ"/>
        </w:rPr>
        <w:t>Timetable Changes</w:t>
      </w:r>
      <w:bookmarkEnd w:id="19"/>
      <w:bookmarkEnd w:id="20"/>
      <w:bookmarkEnd w:id="21"/>
      <w:r w:rsidR="005650E3" w:rsidRPr="00032FAF">
        <w:rPr>
          <w:lang w:val="en-NZ"/>
        </w:rPr>
        <w:t xml:space="preserve"> </w:t>
      </w:r>
    </w:p>
    <w:p w14:paraId="29D22166" w14:textId="0A14445C" w:rsidR="00D52356" w:rsidRPr="00032FAF" w:rsidRDefault="00D72A1B" w:rsidP="00E15A8A">
      <w:pPr>
        <w:pStyle w:val="Heading2No"/>
        <w:rPr>
          <w:rFonts w:cs="Arial"/>
          <w:szCs w:val="20"/>
          <w:lang w:val="en-NZ"/>
        </w:rPr>
      </w:pPr>
      <w:r w:rsidRPr="00032FAF">
        <w:rPr>
          <w:rFonts w:cs="Arial"/>
          <w:szCs w:val="20"/>
          <w:lang w:val="en-NZ"/>
        </w:rPr>
        <w:t>Cancellation</w:t>
      </w:r>
      <w:r w:rsidR="005650E3" w:rsidRPr="00032FAF">
        <w:rPr>
          <w:rFonts w:cs="Arial"/>
          <w:szCs w:val="20"/>
          <w:lang w:val="en-NZ"/>
        </w:rPr>
        <w:t xml:space="preserve"> or </w:t>
      </w:r>
      <w:r w:rsidR="005478FB" w:rsidRPr="00032FAF">
        <w:rPr>
          <w:rFonts w:cs="Arial"/>
          <w:szCs w:val="20"/>
          <w:lang w:val="en-NZ"/>
        </w:rPr>
        <w:t>postponement</w:t>
      </w:r>
      <w:r w:rsidRPr="00032FAF">
        <w:rPr>
          <w:rFonts w:cs="Arial"/>
          <w:szCs w:val="20"/>
          <w:lang w:val="en-NZ"/>
        </w:rPr>
        <w:t xml:space="preserve"> of a programme</w:t>
      </w:r>
      <w:r w:rsidR="00DB44FC" w:rsidRPr="00032FAF">
        <w:rPr>
          <w:rFonts w:cs="Arial"/>
          <w:szCs w:val="20"/>
          <w:lang w:val="en-NZ"/>
        </w:rPr>
        <w:t xml:space="preserve">, </w:t>
      </w:r>
      <w:proofErr w:type="spellStart"/>
      <w:r w:rsidR="0018096F">
        <w:rPr>
          <w:rFonts w:cs="Arial"/>
          <w:szCs w:val="20"/>
          <w:lang w:val="en-NZ"/>
        </w:rPr>
        <w:t>microcredential</w:t>
      </w:r>
      <w:proofErr w:type="spellEnd"/>
      <w:r w:rsidR="00DB44FC" w:rsidRPr="00032FAF">
        <w:rPr>
          <w:rFonts w:cs="Arial"/>
          <w:szCs w:val="20"/>
          <w:lang w:val="en-NZ"/>
        </w:rPr>
        <w:t xml:space="preserve"> or </w:t>
      </w:r>
      <w:r w:rsidRPr="00032FAF">
        <w:rPr>
          <w:rFonts w:cs="Arial"/>
          <w:szCs w:val="20"/>
          <w:lang w:val="en-NZ"/>
        </w:rPr>
        <w:t>course</w:t>
      </w:r>
    </w:p>
    <w:p w14:paraId="7D5821B0" w14:textId="04ADBDD1" w:rsidR="00736967" w:rsidRPr="0003653F" w:rsidRDefault="00893B2F">
      <w:pPr>
        <w:pStyle w:val="BlockNumber"/>
        <w:ind w:left="1587" w:hanging="873"/>
        <w:rPr>
          <w:rFonts w:cs="Arial"/>
          <w:szCs w:val="20"/>
          <w:lang w:val="en-NZ"/>
        </w:rPr>
      </w:pPr>
      <w:r>
        <w:rPr>
          <w:rFonts w:cs="Arial"/>
          <w:szCs w:val="20"/>
          <w:lang w:val="en-NZ"/>
        </w:rPr>
        <w:t>ATNZ</w:t>
      </w:r>
      <w:r w:rsidR="00D72A1B" w:rsidRPr="0003653F">
        <w:rPr>
          <w:rFonts w:cs="Arial"/>
          <w:szCs w:val="20"/>
          <w:lang w:val="en-NZ"/>
        </w:rPr>
        <w:t xml:space="preserve"> reserves the right to cancel or postpone a programme</w:t>
      </w:r>
      <w:r w:rsidR="0018096F">
        <w:rPr>
          <w:rFonts w:cs="Arial"/>
          <w:szCs w:val="20"/>
          <w:lang w:val="en-NZ"/>
        </w:rPr>
        <w:t xml:space="preserve">, </w:t>
      </w:r>
      <w:proofErr w:type="spellStart"/>
      <w:r w:rsidR="0018096F">
        <w:rPr>
          <w:rFonts w:cs="Arial"/>
          <w:szCs w:val="20"/>
          <w:lang w:val="en-NZ"/>
        </w:rPr>
        <w:t>microcredential</w:t>
      </w:r>
      <w:proofErr w:type="spellEnd"/>
      <w:r w:rsidR="00393694">
        <w:rPr>
          <w:rFonts w:cs="Arial"/>
          <w:szCs w:val="20"/>
          <w:lang w:val="en-NZ"/>
        </w:rPr>
        <w:t xml:space="preserve"> </w:t>
      </w:r>
      <w:r w:rsidR="00595F84" w:rsidRPr="0003653F">
        <w:rPr>
          <w:rFonts w:cs="Arial"/>
          <w:szCs w:val="20"/>
          <w:lang w:val="en-NZ"/>
        </w:rPr>
        <w:t xml:space="preserve">or </w:t>
      </w:r>
      <w:r w:rsidR="00D72A1B" w:rsidRPr="0003653F">
        <w:rPr>
          <w:rFonts w:cs="Arial"/>
          <w:szCs w:val="20"/>
          <w:lang w:val="en-NZ"/>
        </w:rPr>
        <w:t xml:space="preserve">course </w:t>
      </w:r>
      <w:r w:rsidR="00723B61">
        <w:rPr>
          <w:rFonts w:cs="Arial"/>
          <w:szCs w:val="20"/>
          <w:lang w:val="en-NZ"/>
        </w:rPr>
        <w:t xml:space="preserve">or to transfer the location of delivery to a different site </w:t>
      </w:r>
      <w:r w:rsidR="00D72A1B" w:rsidRPr="0003653F">
        <w:rPr>
          <w:rFonts w:cs="Arial"/>
          <w:szCs w:val="20"/>
          <w:lang w:val="en-NZ"/>
        </w:rPr>
        <w:t>if:</w:t>
      </w:r>
    </w:p>
    <w:p w14:paraId="391162C3" w14:textId="240DAC72" w:rsidR="00736967" w:rsidRDefault="00D72A1B" w:rsidP="00135CF0">
      <w:pPr>
        <w:pStyle w:val="Bullet1"/>
        <w:tabs>
          <w:tab w:val="clear" w:pos="1494"/>
        </w:tabs>
        <w:ind w:left="2127" w:hanging="426"/>
        <w:rPr>
          <w:rFonts w:cs="Arial"/>
          <w:lang w:val="en-NZ"/>
        </w:rPr>
      </w:pPr>
      <w:r w:rsidRPr="0003653F">
        <w:rPr>
          <w:rFonts w:cs="Arial"/>
          <w:lang w:val="en-NZ"/>
        </w:rPr>
        <w:t>There are insufficient enrolments before the programme</w:t>
      </w:r>
      <w:r w:rsidR="00E63884">
        <w:rPr>
          <w:rFonts w:cs="Arial"/>
          <w:lang w:val="en-NZ"/>
        </w:rPr>
        <w:t xml:space="preserve">, </w:t>
      </w:r>
      <w:proofErr w:type="spellStart"/>
      <w:r w:rsidR="00E63884">
        <w:rPr>
          <w:rFonts w:cs="Arial"/>
          <w:lang w:val="en-NZ"/>
        </w:rPr>
        <w:t>microcredential</w:t>
      </w:r>
      <w:proofErr w:type="spellEnd"/>
      <w:r w:rsidR="00393694">
        <w:rPr>
          <w:rFonts w:cs="Arial"/>
          <w:lang w:val="en-NZ"/>
        </w:rPr>
        <w:t xml:space="preserve"> </w:t>
      </w:r>
      <w:r w:rsidR="00595F84" w:rsidRPr="0003653F">
        <w:rPr>
          <w:rFonts w:cs="Arial"/>
          <w:lang w:val="en-NZ"/>
        </w:rPr>
        <w:t xml:space="preserve">or </w:t>
      </w:r>
      <w:r w:rsidRPr="0003653F">
        <w:rPr>
          <w:rFonts w:cs="Arial"/>
          <w:lang w:val="en-NZ"/>
        </w:rPr>
        <w:t xml:space="preserve">course is planned to start; or </w:t>
      </w:r>
    </w:p>
    <w:p w14:paraId="6B3689D0" w14:textId="1D508E46" w:rsidR="00FE01C0" w:rsidRPr="0003653F" w:rsidRDefault="00FE01C0" w:rsidP="00135CF0">
      <w:pPr>
        <w:pStyle w:val="Bullet1"/>
        <w:tabs>
          <w:tab w:val="clear" w:pos="1494"/>
        </w:tabs>
        <w:ind w:left="2127" w:hanging="426"/>
        <w:rPr>
          <w:rFonts w:cs="Arial"/>
          <w:lang w:val="en-NZ"/>
        </w:rPr>
      </w:pPr>
      <w:r>
        <w:rPr>
          <w:rFonts w:cs="Arial"/>
          <w:lang w:val="en-NZ"/>
        </w:rPr>
        <w:t xml:space="preserve">Where a natural </w:t>
      </w:r>
      <w:r w:rsidR="0086240B">
        <w:rPr>
          <w:rFonts w:cs="Arial"/>
          <w:lang w:val="en-NZ"/>
        </w:rPr>
        <w:t xml:space="preserve">disaster or government </w:t>
      </w:r>
      <w:r w:rsidR="000D4576">
        <w:rPr>
          <w:rFonts w:cs="Arial"/>
          <w:lang w:val="en-NZ"/>
        </w:rPr>
        <w:t xml:space="preserve">directive </w:t>
      </w:r>
      <w:r w:rsidR="00E535EF">
        <w:rPr>
          <w:rFonts w:cs="Arial"/>
          <w:lang w:val="en-NZ"/>
        </w:rPr>
        <w:t>(</w:t>
      </w:r>
      <w:r w:rsidR="000D4576">
        <w:rPr>
          <w:rFonts w:cs="Arial"/>
          <w:lang w:val="en-NZ"/>
        </w:rPr>
        <w:t xml:space="preserve">other than </w:t>
      </w:r>
      <w:r w:rsidR="00E535EF">
        <w:rPr>
          <w:rFonts w:cs="Arial"/>
          <w:lang w:val="en-NZ"/>
        </w:rPr>
        <w:t xml:space="preserve">in circumstances where 5.1.3 applies) </w:t>
      </w:r>
      <w:r w:rsidR="001574F8">
        <w:rPr>
          <w:rFonts w:cs="Arial"/>
          <w:lang w:val="en-NZ"/>
        </w:rPr>
        <w:t xml:space="preserve">prevents the </w:t>
      </w:r>
      <w:r w:rsidR="00EC73EB">
        <w:rPr>
          <w:rFonts w:cs="Arial"/>
          <w:lang w:val="en-NZ"/>
        </w:rPr>
        <w:t>programme or course being run</w:t>
      </w:r>
      <w:r w:rsidR="007867C8">
        <w:rPr>
          <w:rFonts w:cs="Arial"/>
          <w:lang w:val="en-NZ"/>
        </w:rPr>
        <w:t>; or</w:t>
      </w:r>
    </w:p>
    <w:p w14:paraId="6168BC39" w14:textId="77777777" w:rsidR="00A85F38" w:rsidRDefault="00D72A1B" w:rsidP="00135CF0">
      <w:pPr>
        <w:pStyle w:val="Bullet1"/>
        <w:tabs>
          <w:tab w:val="clear" w:pos="1494"/>
        </w:tabs>
        <w:ind w:left="2127" w:hanging="426"/>
        <w:rPr>
          <w:rFonts w:cs="Arial"/>
          <w:lang w:val="en-NZ"/>
        </w:rPr>
      </w:pPr>
      <w:r w:rsidRPr="0003653F">
        <w:rPr>
          <w:rFonts w:cs="Arial"/>
          <w:lang w:val="en-NZ"/>
        </w:rPr>
        <w:t xml:space="preserve">For any other reason where cancellation is necessary for the sound management of </w:t>
      </w:r>
      <w:r w:rsidR="00893B2F">
        <w:rPr>
          <w:rFonts w:cs="Arial"/>
          <w:lang w:val="en-NZ"/>
        </w:rPr>
        <w:t>ATNZ</w:t>
      </w:r>
      <w:r w:rsidRPr="0003653F">
        <w:rPr>
          <w:rFonts w:cs="Arial"/>
          <w:lang w:val="en-NZ"/>
        </w:rPr>
        <w:t xml:space="preserve"> and its resources</w:t>
      </w:r>
      <w:r w:rsidR="007867C8">
        <w:rPr>
          <w:rFonts w:cs="Arial"/>
          <w:lang w:val="en-NZ"/>
        </w:rPr>
        <w:t>; or</w:t>
      </w:r>
    </w:p>
    <w:p w14:paraId="6B069633" w14:textId="04A979D7" w:rsidR="00736967" w:rsidRPr="0003653F" w:rsidRDefault="00A85F38" w:rsidP="00135CF0">
      <w:pPr>
        <w:pStyle w:val="Bullet1"/>
        <w:tabs>
          <w:tab w:val="clear" w:pos="1494"/>
        </w:tabs>
        <w:ind w:left="2127" w:hanging="426"/>
        <w:rPr>
          <w:rFonts w:cs="Arial"/>
          <w:lang w:val="en-NZ"/>
        </w:rPr>
      </w:pPr>
      <w:r>
        <w:rPr>
          <w:rFonts w:cs="Arial"/>
          <w:lang w:val="en-NZ"/>
        </w:rPr>
        <w:t xml:space="preserve">Where ATNZ is unable to continue to operate and voluntarily </w:t>
      </w:r>
      <w:r w:rsidR="00511879">
        <w:rPr>
          <w:rFonts w:cs="Arial"/>
          <w:lang w:val="en-NZ"/>
        </w:rPr>
        <w:t>discontinues operations</w:t>
      </w:r>
      <w:r w:rsidR="00D72A1B" w:rsidRPr="0003653F">
        <w:rPr>
          <w:rFonts w:cs="Arial"/>
          <w:lang w:val="en-NZ"/>
        </w:rPr>
        <w:t>.</w:t>
      </w:r>
    </w:p>
    <w:p w14:paraId="7DA38105" w14:textId="1C5D456E" w:rsidR="00E06B0C" w:rsidRPr="00E06B0C" w:rsidRDefault="00E06B0C" w:rsidP="00E06B0C">
      <w:pPr>
        <w:pStyle w:val="BlockNumber"/>
        <w:ind w:left="1587" w:hanging="873"/>
        <w:rPr>
          <w:rFonts w:cs="Arial"/>
          <w:szCs w:val="20"/>
        </w:rPr>
      </w:pPr>
      <w:r w:rsidRPr="00E06B0C">
        <w:rPr>
          <w:rFonts w:cs="Arial"/>
          <w:szCs w:val="20"/>
        </w:rPr>
        <w:t xml:space="preserve">Where ATNZ cancels or postpones a </w:t>
      </w:r>
      <w:proofErr w:type="spellStart"/>
      <w:r w:rsidRPr="00E06B0C">
        <w:rPr>
          <w:rFonts w:cs="Arial"/>
          <w:szCs w:val="20"/>
        </w:rPr>
        <w:t>programme</w:t>
      </w:r>
      <w:proofErr w:type="spellEnd"/>
      <w:r w:rsidR="00E63884">
        <w:rPr>
          <w:rFonts w:cs="Arial"/>
          <w:szCs w:val="20"/>
        </w:rPr>
        <w:t xml:space="preserve">, </w:t>
      </w:r>
      <w:proofErr w:type="spellStart"/>
      <w:r w:rsidR="00E63884">
        <w:rPr>
          <w:rFonts w:cs="Arial"/>
          <w:szCs w:val="20"/>
        </w:rPr>
        <w:t>microcredential</w:t>
      </w:r>
      <w:proofErr w:type="spellEnd"/>
      <w:r w:rsidRPr="00E06B0C">
        <w:rPr>
          <w:rFonts w:cs="Arial"/>
          <w:szCs w:val="20"/>
        </w:rPr>
        <w:t xml:space="preserve"> or course, or changes the location of delivery so that it is difficult for a learner to continue at the new site, learner fees shall be (as determined by the learner):</w:t>
      </w:r>
    </w:p>
    <w:p w14:paraId="04998E69" w14:textId="77777777" w:rsidR="00E06B0C" w:rsidRPr="00E06B0C" w:rsidRDefault="00E06B0C" w:rsidP="00E06B0C">
      <w:pPr>
        <w:pStyle w:val="Bullet1"/>
        <w:tabs>
          <w:tab w:val="clear" w:pos="1494"/>
        </w:tabs>
        <w:ind w:left="2127"/>
      </w:pPr>
      <w:r w:rsidRPr="00E06B0C">
        <w:t>Refunded in full where the cancellation or postponement occurs before the end of the Refund Period specified in section 9.2 of these Regulations; or</w:t>
      </w:r>
    </w:p>
    <w:p w14:paraId="11F913B6" w14:textId="7820BA29" w:rsidR="00E06B0C" w:rsidRPr="00E06B0C" w:rsidRDefault="00E06B0C" w:rsidP="00E06B0C">
      <w:pPr>
        <w:pStyle w:val="Bullet1"/>
        <w:tabs>
          <w:tab w:val="clear" w:pos="1494"/>
        </w:tabs>
        <w:ind w:left="2127"/>
      </w:pPr>
      <w:r w:rsidRPr="00E06B0C">
        <w:t xml:space="preserve">Refunded on a pro rata basis considering the duration of </w:t>
      </w:r>
      <w:proofErr w:type="spellStart"/>
      <w:r w:rsidRPr="00E06B0C">
        <w:t>programme</w:t>
      </w:r>
      <w:proofErr w:type="spellEnd"/>
      <w:r w:rsidR="00E63884">
        <w:t xml:space="preserve">, </w:t>
      </w:r>
      <w:proofErr w:type="spellStart"/>
      <w:r w:rsidR="00E63884">
        <w:t>microcredential</w:t>
      </w:r>
      <w:proofErr w:type="spellEnd"/>
      <w:r w:rsidRPr="00E06B0C">
        <w:t xml:space="preserve"> or course remaining for which fees have been paid at the date of </w:t>
      </w:r>
      <w:proofErr w:type="spellStart"/>
      <w:r w:rsidRPr="00E06B0C">
        <w:t>sessation</w:t>
      </w:r>
      <w:proofErr w:type="spellEnd"/>
      <w:r w:rsidRPr="00E06B0C">
        <w:t xml:space="preserve">; or   </w:t>
      </w:r>
    </w:p>
    <w:p w14:paraId="1B75DE1F" w14:textId="77777777" w:rsidR="00E06B0C" w:rsidRPr="00E06B0C" w:rsidRDefault="00E06B0C" w:rsidP="00E06B0C">
      <w:pPr>
        <w:pStyle w:val="Bullet1"/>
        <w:tabs>
          <w:tab w:val="clear" w:pos="1494"/>
        </w:tabs>
        <w:ind w:left="2127"/>
      </w:pPr>
      <w:r w:rsidRPr="00E06B0C">
        <w:t xml:space="preserve">Credited to another programme or </w:t>
      </w:r>
      <w:proofErr w:type="gramStart"/>
      <w:r w:rsidRPr="00E06B0C">
        <w:t>course;</w:t>
      </w:r>
      <w:proofErr w:type="gramEnd"/>
      <w:r w:rsidRPr="00E06B0C">
        <w:t xml:space="preserve"> including where applicable with an alternative provider.</w:t>
      </w:r>
    </w:p>
    <w:p w14:paraId="061CE3BF" w14:textId="21AD74C7" w:rsidR="000C0FD2" w:rsidRDefault="008213CD" w:rsidP="00DD2E7A">
      <w:pPr>
        <w:pStyle w:val="BlockNumber"/>
        <w:ind w:left="1560"/>
        <w:rPr>
          <w:lang w:val="en-NZ"/>
        </w:rPr>
      </w:pPr>
      <w:r>
        <w:rPr>
          <w:lang w:val="en-NZ"/>
        </w:rPr>
        <w:t xml:space="preserve">Where ATNZ is prevented from </w:t>
      </w:r>
      <w:r w:rsidR="005C2F5B">
        <w:rPr>
          <w:lang w:val="en-NZ"/>
        </w:rPr>
        <w:t>delivering a course</w:t>
      </w:r>
      <w:r w:rsidR="004E7E98">
        <w:rPr>
          <w:lang w:val="en-NZ"/>
        </w:rPr>
        <w:t xml:space="preserve">, </w:t>
      </w:r>
      <w:proofErr w:type="spellStart"/>
      <w:r w:rsidR="004E7E98">
        <w:rPr>
          <w:lang w:val="en-NZ"/>
        </w:rPr>
        <w:t>microcrfedential</w:t>
      </w:r>
      <w:proofErr w:type="spellEnd"/>
      <w:r w:rsidR="005C2F5B">
        <w:rPr>
          <w:lang w:val="en-NZ"/>
        </w:rPr>
        <w:t xml:space="preserve"> or programme by NZQA</w:t>
      </w:r>
      <w:r w:rsidR="00DE34FB">
        <w:rPr>
          <w:lang w:val="en-NZ"/>
        </w:rPr>
        <w:t xml:space="preserve">, ATNZ and/or the Public Trust (being the </w:t>
      </w:r>
      <w:r w:rsidR="00D248D3">
        <w:rPr>
          <w:lang w:val="en-NZ"/>
        </w:rPr>
        <w:t xml:space="preserve">administrator </w:t>
      </w:r>
      <w:r w:rsidR="007E5D41">
        <w:rPr>
          <w:lang w:val="en-NZ"/>
        </w:rPr>
        <w:t xml:space="preserve">for ATNZ’s Student Fee Protection mechanism) will refund </w:t>
      </w:r>
      <w:r w:rsidR="000F640C">
        <w:rPr>
          <w:lang w:val="en-NZ"/>
        </w:rPr>
        <w:t xml:space="preserve">student fees in accordance with the refund provisions of these Regulations </w:t>
      </w:r>
      <w:r w:rsidR="008616E9">
        <w:rPr>
          <w:lang w:val="en-NZ"/>
        </w:rPr>
        <w:t xml:space="preserve">where this event occurs within the Refund Period and on a pro rata basis </w:t>
      </w:r>
      <w:r w:rsidR="00656BCC">
        <w:rPr>
          <w:lang w:val="en-NZ"/>
        </w:rPr>
        <w:t xml:space="preserve">for the remaining proportion of the </w:t>
      </w:r>
      <w:r w:rsidR="00122B0A">
        <w:rPr>
          <w:lang w:val="en-NZ"/>
        </w:rPr>
        <w:t xml:space="preserve">course or programme duration beyond the </w:t>
      </w:r>
      <w:r w:rsidR="000C0FD2">
        <w:rPr>
          <w:lang w:val="en-NZ"/>
        </w:rPr>
        <w:t>R</w:t>
      </w:r>
      <w:r w:rsidR="00122B0A">
        <w:rPr>
          <w:lang w:val="en-NZ"/>
        </w:rPr>
        <w:t>efund p</w:t>
      </w:r>
      <w:r w:rsidR="000C0FD2">
        <w:rPr>
          <w:lang w:val="en-NZ"/>
        </w:rPr>
        <w:t>rovisions</w:t>
      </w:r>
      <w:r w:rsidR="00122B0A">
        <w:rPr>
          <w:lang w:val="en-NZ"/>
        </w:rPr>
        <w:t xml:space="preserve">. </w:t>
      </w:r>
    </w:p>
    <w:p w14:paraId="6B259223" w14:textId="45CC3849" w:rsidR="00DD2E7A" w:rsidRDefault="00B3269E" w:rsidP="000C0FD2">
      <w:pPr>
        <w:pStyle w:val="BlockNumber"/>
        <w:numPr>
          <w:ilvl w:val="0"/>
          <w:numId w:val="0"/>
        </w:numPr>
        <w:ind w:left="1560"/>
        <w:rPr>
          <w:lang w:val="en-NZ"/>
        </w:rPr>
      </w:pPr>
      <w:r>
        <w:rPr>
          <w:lang w:val="en-NZ"/>
        </w:rPr>
        <w:lastRenderedPageBreak/>
        <w:t xml:space="preserve">These circumstances could </w:t>
      </w:r>
      <w:r w:rsidR="000C0FD2">
        <w:rPr>
          <w:lang w:val="en-NZ"/>
        </w:rPr>
        <w:t xml:space="preserve">arise from </w:t>
      </w:r>
      <w:r>
        <w:rPr>
          <w:lang w:val="en-NZ"/>
        </w:rPr>
        <w:t xml:space="preserve">NZQA determining that: </w:t>
      </w:r>
    </w:p>
    <w:p w14:paraId="026B0344" w14:textId="12617334" w:rsidR="002D6EE5" w:rsidRDefault="002D6EE5" w:rsidP="00DD2E7A">
      <w:pPr>
        <w:pStyle w:val="Bullet1"/>
        <w:tabs>
          <w:tab w:val="clear" w:pos="1494"/>
        </w:tabs>
        <w:ind w:left="2127"/>
      </w:pPr>
      <w:r>
        <w:t xml:space="preserve">ATNZ </w:t>
      </w:r>
      <w:r w:rsidR="00006996" w:rsidRPr="00006996">
        <w:t xml:space="preserve">is no longer delivering or capable of delivering the </w:t>
      </w:r>
      <w:r w:rsidR="000C0FD2">
        <w:t>co</w:t>
      </w:r>
      <w:r w:rsidR="00006996" w:rsidRPr="00006996">
        <w:t xml:space="preserve">urse </w:t>
      </w:r>
      <w:r w:rsidR="000C0FD2">
        <w:t>or programme in</w:t>
      </w:r>
      <w:r w:rsidR="00006996" w:rsidRPr="00006996">
        <w:t xml:space="preserve"> which students are </w:t>
      </w:r>
      <w:proofErr w:type="gramStart"/>
      <w:r w:rsidR="000C0FD2">
        <w:t>e</w:t>
      </w:r>
      <w:r w:rsidR="00006996" w:rsidRPr="00006996">
        <w:t>nrolled</w:t>
      </w:r>
      <w:proofErr w:type="gramEnd"/>
    </w:p>
    <w:p w14:paraId="0F213FE8" w14:textId="47941C7B" w:rsidR="002D6EE5" w:rsidRDefault="00006996" w:rsidP="00DD2E7A">
      <w:pPr>
        <w:pStyle w:val="BlockNumber"/>
        <w:numPr>
          <w:ilvl w:val="2"/>
          <w:numId w:val="31"/>
        </w:numPr>
        <w:spacing w:before="0"/>
        <w:rPr>
          <w:rFonts w:cs="Arial"/>
          <w:szCs w:val="20"/>
          <w:lang w:val="en-NZ"/>
        </w:rPr>
      </w:pPr>
      <w:r w:rsidRPr="00006996">
        <w:rPr>
          <w:rFonts w:cs="Arial"/>
          <w:szCs w:val="20"/>
          <w:lang w:val="en-NZ"/>
        </w:rPr>
        <w:t xml:space="preserve">any regulatory closure of </w:t>
      </w:r>
      <w:r w:rsidR="002D6EE5">
        <w:rPr>
          <w:rFonts w:cs="Arial"/>
          <w:szCs w:val="20"/>
          <w:lang w:val="en-NZ"/>
        </w:rPr>
        <w:t>ATNZ</w:t>
      </w:r>
    </w:p>
    <w:p w14:paraId="04FC26B1" w14:textId="77777777" w:rsidR="002D6EE5" w:rsidRDefault="00006996" w:rsidP="00DD2E7A">
      <w:pPr>
        <w:pStyle w:val="BlockNumber"/>
        <w:numPr>
          <w:ilvl w:val="2"/>
          <w:numId w:val="31"/>
        </w:numPr>
        <w:spacing w:before="0"/>
        <w:rPr>
          <w:rFonts w:cs="Arial"/>
          <w:szCs w:val="20"/>
          <w:lang w:val="en-NZ"/>
        </w:rPr>
      </w:pPr>
      <w:r w:rsidRPr="00006996">
        <w:rPr>
          <w:rFonts w:cs="Arial"/>
          <w:szCs w:val="20"/>
          <w:lang w:val="en-NZ"/>
        </w:rPr>
        <w:t xml:space="preserve">insolvency of </w:t>
      </w:r>
      <w:r w:rsidR="002D6EE5">
        <w:rPr>
          <w:rFonts w:cs="Arial"/>
          <w:szCs w:val="20"/>
          <w:lang w:val="en-NZ"/>
        </w:rPr>
        <w:t>ATNZ</w:t>
      </w:r>
    </w:p>
    <w:p w14:paraId="00589A37" w14:textId="77777777" w:rsidR="002D6EE5" w:rsidRDefault="002D6EE5" w:rsidP="00DD2E7A">
      <w:pPr>
        <w:pStyle w:val="BlockNumber"/>
        <w:numPr>
          <w:ilvl w:val="2"/>
          <w:numId w:val="31"/>
        </w:numPr>
        <w:spacing w:before="0"/>
        <w:rPr>
          <w:rFonts w:cs="Arial"/>
          <w:szCs w:val="20"/>
          <w:lang w:val="en-NZ"/>
        </w:rPr>
      </w:pPr>
      <w:r>
        <w:rPr>
          <w:rFonts w:cs="Arial"/>
          <w:szCs w:val="20"/>
          <w:lang w:val="en-NZ"/>
        </w:rPr>
        <w:t xml:space="preserve">ATNZ </w:t>
      </w:r>
      <w:r w:rsidR="00006996" w:rsidRPr="00006996">
        <w:rPr>
          <w:rFonts w:cs="Arial"/>
          <w:szCs w:val="20"/>
          <w:lang w:val="en-NZ"/>
        </w:rPr>
        <w:t>ceas</w:t>
      </w:r>
      <w:r>
        <w:rPr>
          <w:rFonts w:cs="Arial"/>
          <w:szCs w:val="20"/>
          <w:lang w:val="en-NZ"/>
        </w:rPr>
        <w:t>ing</w:t>
      </w:r>
      <w:r w:rsidR="00006996" w:rsidRPr="00006996">
        <w:rPr>
          <w:rFonts w:cs="Arial"/>
          <w:szCs w:val="20"/>
          <w:lang w:val="en-NZ"/>
        </w:rPr>
        <w:t xml:space="preserve"> to operate or los</w:t>
      </w:r>
      <w:r>
        <w:rPr>
          <w:rFonts w:cs="Arial"/>
          <w:szCs w:val="20"/>
          <w:lang w:val="en-NZ"/>
        </w:rPr>
        <w:t>ing</w:t>
      </w:r>
      <w:r w:rsidR="00006996" w:rsidRPr="00006996">
        <w:rPr>
          <w:rFonts w:cs="Arial"/>
          <w:szCs w:val="20"/>
          <w:lang w:val="en-NZ"/>
        </w:rPr>
        <w:t xml:space="preserve"> its body corporate </w:t>
      </w:r>
      <w:proofErr w:type="gramStart"/>
      <w:r w:rsidR="00006996" w:rsidRPr="00006996">
        <w:rPr>
          <w:rFonts w:cs="Arial"/>
          <w:szCs w:val="20"/>
          <w:lang w:val="en-NZ"/>
        </w:rPr>
        <w:t>status</w:t>
      </w:r>
      <w:proofErr w:type="gramEnd"/>
    </w:p>
    <w:p w14:paraId="41078118" w14:textId="77777777" w:rsidR="002D6EE5" w:rsidRDefault="00006996" w:rsidP="00DD2E7A">
      <w:pPr>
        <w:pStyle w:val="BlockNumber"/>
        <w:numPr>
          <w:ilvl w:val="2"/>
          <w:numId w:val="31"/>
        </w:numPr>
        <w:spacing w:before="0"/>
        <w:rPr>
          <w:rFonts w:cs="Arial"/>
          <w:szCs w:val="20"/>
          <w:lang w:val="en-NZ"/>
        </w:rPr>
      </w:pPr>
      <w:r w:rsidRPr="00006996">
        <w:rPr>
          <w:rFonts w:cs="Arial"/>
          <w:szCs w:val="20"/>
          <w:lang w:val="en-NZ"/>
        </w:rPr>
        <w:t xml:space="preserve">any cancellation by NZQA of </w:t>
      </w:r>
      <w:r w:rsidR="002D6EE5">
        <w:rPr>
          <w:rFonts w:cs="Arial"/>
          <w:szCs w:val="20"/>
          <w:lang w:val="en-NZ"/>
        </w:rPr>
        <w:t xml:space="preserve">ATNZ’s </w:t>
      </w:r>
      <w:proofErr w:type="gramStart"/>
      <w:r w:rsidRPr="00006996">
        <w:rPr>
          <w:rFonts w:cs="Arial"/>
          <w:szCs w:val="20"/>
          <w:lang w:val="en-NZ"/>
        </w:rPr>
        <w:t>registration;</w:t>
      </w:r>
      <w:proofErr w:type="gramEnd"/>
    </w:p>
    <w:p w14:paraId="38D7835A" w14:textId="648FD96B" w:rsidR="002D6EE5" w:rsidRDefault="00006996" w:rsidP="00DD2E7A">
      <w:pPr>
        <w:pStyle w:val="BlockNumber"/>
        <w:numPr>
          <w:ilvl w:val="2"/>
          <w:numId w:val="31"/>
        </w:numPr>
        <w:spacing w:before="0"/>
        <w:rPr>
          <w:rFonts w:cs="Arial"/>
          <w:szCs w:val="20"/>
          <w:lang w:val="en-NZ"/>
        </w:rPr>
      </w:pPr>
      <w:r w:rsidRPr="00006996">
        <w:rPr>
          <w:rFonts w:cs="Arial"/>
          <w:szCs w:val="20"/>
          <w:lang w:val="en-NZ"/>
        </w:rPr>
        <w:t xml:space="preserve">any withdrawal by NZQA of </w:t>
      </w:r>
      <w:r w:rsidR="002D6EE5">
        <w:rPr>
          <w:rFonts w:cs="Arial"/>
          <w:szCs w:val="20"/>
          <w:lang w:val="en-NZ"/>
        </w:rPr>
        <w:t xml:space="preserve">ATNZ’s </w:t>
      </w:r>
      <w:r w:rsidRPr="00006996">
        <w:rPr>
          <w:rFonts w:cs="Arial"/>
          <w:szCs w:val="20"/>
          <w:lang w:val="en-NZ"/>
        </w:rPr>
        <w:t>accreditation to provide a prog</w:t>
      </w:r>
      <w:r w:rsidR="002D6EE5">
        <w:rPr>
          <w:rFonts w:cs="Arial"/>
          <w:szCs w:val="20"/>
          <w:lang w:val="en-NZ"/>
        </w:rPr>
        <w:t xml:space="preserve">ramme </w:t>
      </w:r>
      <w:r w:rsidR="004E7E98">
        <w:rPr>
          <w:rFonts w:cs="Arial"/>
          <w:szCs w:val="20"/>
          <w:lang w:val="en-NZ"/>
        </w:rPr>
        <w:t xml:space="preserve">or </w:t>
      </w:r>
      <w:proofErr w:type="spellStart"/>
      <w:proofErr w:type="gramStart"/>
      <w:r w:rsidR="004E7E98">
        <w:rPr>
          <w:rFonts w:cs="Arial"/>
          <w:szCs w:val="20"/>
          <w:lang w:val="en-NZ"/>
        </w:rPr>
        <w:t>microcredential</w:t>
      </w:r>
      <w:proofErr w:type="spellEnd"/>
      <w:proofErr w:type="gramEnd"/>
    </w:p>
    <w:p w14:paraId="63646EDA" w14:textId="77777777" w:rsidR="0019731A" w:rsidRDefault="0019731A" w:rsidP="0019731A">
      <w:pPr>
        <w:pStyle w:val="Bullet1"/>
        <w:numPr>
          <w:ilvl w:val="0"/>
          <w:numId w:val="0"/>
        </w:numPr>
        <w:ind w:left="1701"/>
        <w:rPr>
          <w:rFonts w:cs="Arial"/>
          <w:lang w:val="en-NZ"/>
        </w:rPr>
      </w:pPr>
    </w:p>
    <w:p w14:paraId="3E6A15D8" w14:textId="77777777" w:rsidR="00736967" w:rsidRPr="00032FAF" w:rsidRDefault="00D72A1B">
      <w:pPr>
        <w:pStyle w:val="Heading2No"/>
        <w:rPr>
          <w:rFonts w:cs="Arial"/>
          <w:szCs w:val="20"/>
          <w:lang w:val="en-NZ"/>
        </w:rPr>
      </w:pPr>
      <w:r w:rsidRPr="00032FAF">
        <w:rPr>
          <w:rFonts w:cs="Arial"/>
          <w:szCs w:val="20"/>
          <w:lang w:val="en-NZ"/>
        </w:rPr>
        <w:t xml:space="preserve">Timetable </w:t>
      </w:r>
      <w:r w:rsidR="006939E1" w:rsidRPr="00032FAF">
        <w:rPr>
          <w:rFonts w:cs="Arial"/>
          <w:szCs w:val="20"/>
          <w:lang w:val="en-NZ"/>
        </w:rPr>
        <w:t>c</w:t>
      </w:r>
      <w:r w:rsidRPr="00032FAF">
        <w:rPr>
          <w:rFonts w:cs="Arial"/>
          <w:szCs w:val="20"/>
          <w:lang w:val="en-NZ"/>
        </w:rPr>
        <w:t>hanges</w:t>
      </w:r>
    </w:p>
    <w:p w14:paraId="06D4C1F0" w14:textId="35D29F20" w:rsidR="005650E3" w:rsidRPr="00482BF9" w:rsidRDefault="00FC37A2" w:rsidP="00482BF9">
      <w:pPr>
        <w:pStyle w:val="BlockNumber"/>
        <w:ind w:left="1587" w:hanging="873"/>
        <w:rPr>
          <w:rFonts w:cs="Arial"/>
          <w:szCs w:val="20"/>
          <w:lang w:val="en-NZ"/>
        </w:rPr>
      </w:pPr>
      <w:r w:rsidRPr="00482BF9">
        <w:rPr>
          <w:rFonts w:cs="Arial"/>
          <w:szCs w:val="20"/>
          <w:lang w:val="en-NZ"/>
        </w:rPr>
        <w:t xml:space="preserve">Where </w:t>
      </w:r>
      <w:r w:rsidR="00893B2F">
        <w:rPr>
          <w:rFonts w:cs="Arial"/>
          <w:szCs w:val="20"/>
          <w:lang w:val="en-NZ"/>
        </w:rPr>
        <w:t>learner</w:t>
      </w:r>
      <w:r w:rsidR="00D72A1B" w:rsidRPr="00482BF9">
        <w:rPr>
          <w:rFonts w:cs="Arial"/>
          <w:szCs w:val="20"/>
          <w:lang w:val="en-NZ"/>
        </w:rPr>
        <w:t xml:space="preserve">s are enrolled in a course and the </w:t>
      </w:r>
      <w:r w:rsidR="00482BF9" w:rsidRPr="00482BF9">
        <w:rPr>
          <w:rFonts w:cs="Arial"/>
          <w:szCs w:val="20"/>
          <w:lang w:val="en-NZ"/>
        </w:rPr>
        <w:t xml:space="preserve">scheduling of the entire course </w:t>
      </w:r>
      <w:r w:rsidR="00D72A1B" w:rsidRPr="00482BF9">
        <w:rPr>
          <w:rFonts w:cs="Arial"/>
          <w:szCs w:val="20"/>
          <w:lang w:val="en-NZ"/>
        </w:rPr>
        <w:t xml:space="preserve">changes after enrolment, </w:t>
      </w:r>
      <w:r w:rsidR="00893B2F">
        <w:rPr>
          <w:rFonts w:cs="Arial"/>
          <w:szCs w:val="20"/>
          <w:lang w:val="en-NZ"/>
        </w:rPr>
        <w:t>ATNZ</w:t>
      </w:r>
      <w:r w:rsidR="00D72A1B" w:rsidRPr="00482BF9">
        <w:rPr>
          <w:rFonts w:cs="Arial"/>
          <w:szCs w:val="20"/>
          <w:lang w:val="en-NZ"/>
        </w:rPr>
        <w:t xml:space="preserve"> </w:t>
      </w:r>
      <w:r w:rsidR="004813F9" w:rsidRPr="00482BF9">
        <w:rPr>
          <w:rFonts w:cs="Arial"/>
          <w:szCs w:val="20"/>
          <w:lang w:val="en-NZ"/>
        </w:rPr>
        <w:t xml:space="preserve">shall </w:t>
      </w:r>
      <w:r w:rsidR="00D72A1B" w:rsidRPr="00482BF9">
        <w:rPr>
          <w:rFonts w:cs="Arial"/>
          <w:szCs w:val="20"/>
          <w:lang w:val="en-NZ"/>
        </w:rPr>
        <w:t xml:space="preserve">endeavour to provide an alternative course that meets </w:t>
      </w:r>
      <w:r w:rsidR="00B10F21" w:rsidRPr="00482BF9">
        <w:rPr>
          <w:rFonts w:cs="Arial"/>
          <w:szCs w:val="20"/>
          <w:lang w:val="en-NZ"/>
        </w:rPr>
        <w:t>their</w:t>
      </w:r>
      <w:r w:rsidR="00D72A1B" w:rsidRPr="00482BF9">
        <w:rPr>
          <w:rFonts w:cs="Arial"/>
          <w:szCs w:val="20"/>
          <w:lang w:val="en-NZ"/>
        </w:rPr>
        <w:t xml:space="preserve"> </w:t>
      </w:r>
      <w:proofErr w:type="gramStart"/>
      <w:r w:rsidR="00D72A1B" w:rsidRPr="00482BF9">
        <w:rPr>
          <w:rFonts w:cs="Arial"/>
          <w:szCs w:val="20"/>
          <w:lang w:val="en-NZ"/>
        </w:rPr>
        <w:t>requirements, or</w:t>
      </w:r>
      <w:proofErr w:type="gramEnd"/>
      <w:r w:rsidR="00D72A1B" w:rsidRPr="00482BF9">
        <w:rPr>
          <w:rFonts w:cs="Arial"/>
          <w:szCs w:val="20"/>
          <w:lang w:val="en-NZ"/>
        </w:rPr>
        <w:t xml:space="preserve"> </w:t>
      </w:r>
      <w:r w:rsidR="004813F9" w:rsidRPr="00482BF9">
        <w:rPr>
          <w:rFonts w:cs="Arial"/>
          <w:szCs w:val="20"/>
          <w:lang w:val="en-NZ"/>
        </w:rPr>
        <w:t xml:space="preserve">shall </w:t>
      </w:r>
      <w:r w:rsidR="00D72A1B" w:rsidRPr="00482BF9">
        <w:rPr>
          <w:rFonts w:cs="Arial"/>
          <w:szCs w:val="20"/>
          <w:lang w:val="en-NZ"/>
        </w:rPr>
        <w:t xml:space="preserve">withdraw the </w:t>
      </w:r>
      <w:r w:rsidR="00893B2F">
        <w:rPr>
          <w:rFonts w:cs="Arial"/>
          <w:szCs w:val="20"/>
          <w:lang w:val="en-NZ"/>
        </w:rPr>
        <w:t>learner</w:t>
      </w:r>
      <w:r w:rsidR="002F764A" w:rsidRPr="00482BF9">
        <w:rPr>
          <w:rFonts w:cs="Arial"/>
          <w:szCs w:val="20"/>
          <w:lang w:val="en-NZ"/>
        </w:rPr>
        <w:t xml:space="preserve">’s </w:t>
      </w:r>
      <w:r w:rsidR="00D72A1B" w:rsidRPr="00482BF9">
        <w:rPr>
          <w:rFonts w:cs="Arial"/>
          <w:szCs w:val="20"/>
          <w:lang w:val="en-NZ"/>
        </w:rPr>
        <w:t>enrolment and refund their fees</w:t>
      </w:r>
      <w:r w:rsidR="00C0353F" w:rsidRPr="00482BF9">
        <w:rPr>
          <w:rFonts w:cs="Arial"/>
          <w:szCs w:val="20"/>
          <w:lang w:val="en-NZ"/>
        </w:rPr>
        <w:t xml:space="preserve"> in full</w:t>
      </w:r>
      <w:r w:rsidR="00D72A1B" w:rsidRPr="00482BF9">
        <w:rPr>
          <w:rFonts w:cs="Arial"/>
          <w:szCs w:val="20"/>
          <w:lang w:val="en-NZ"/>
        </w:rPr>
        <w:t>.</w:t>
      </w:r>
      <w:r w:rsidR="00482BF9" w:rsidRPr="00482BF9">
        <w:rPr>
          <w:rFonts w:cs="Arial"/>
          <w:szCs w:val="20"/>
          <w:lang w:val="en-NZ"/>
        </w:rPr>
        <w:t xml:space="preserve"> This section does not apply when activities and lessons are rescheduled within the</w:t>
      </w:r>
      <w:r w:rsidR="00482BF9">
        <w:rPr>
          <w:rFonts w:cs="Arial"/>
          <w:szCs w:val="20"/>
          <w:lang w:val="en-NZ"/>
        </w:rPr>
        <w:t xml:space="preserve"> dates and hours that had initially been set for the course.</w:t>
      </w:r>
    </w:p>
    <w:p w14:paraId="2B20BCBA" w14:textId="7AF37D91" w:rsidR="005650E3" w:rsidRDefault="00893B2F" w:rsidP="005650E3">
      <w:pPr>
        <w:pStyle w:val="BlockNumber"/>
        <w:ind w:left="1587" w:hanging="873"/>
        <w:rPr>
          <w:rFonts w:cs="Arial"/>
          <w:szCs w:val="20"/>
          <w:lang w:val="en-NZ"/>
        </w:rPr>
      </w:pPr>
      <w:r>
        <w:rPr>
          <w:rFonts w:cs="Arial"/>
          <w:szCs w:val="20"/>
          <w:lang w:val="en-NZ"/>
        </w:rPr>
        <w:t>ATNZ</w:t>
      </w:r>
      <w:r w:rsidR="005650E3" w:rsidRPr="0003653F">
        <w:rPr>
          <w:rFonts w:cs="Arial"/>
          <w:szCs w:val="20"/>
          <w:lang w:val="en-NZ"/>
        </w:rPr>
        <w:t xml:space="preserve"> disclaims liability in the event of a programme</w:t>
      </w:r>
      <w:r w:rsidR="00393694">
        <w:rPr>
          <w:rFonts w:cs="Arial"/>
          <w:szCs w:val="20"/>
          <w:lang w:val="en-NZ"/>
        </w:rPr>
        <w:t xml:space="preserve"> </w:t>
      </w:r>
      <w:r w:rsidR="00144BB2" w:rsidRPr="0003653F">
        <w:rPr>
          <w:rFonts w:cs="Arial"/>
          <w:szCs w:val="20"/>
          <w:lang w:val="en-NZ"/>
        </w:rPr>
        <w:t xml:space="preserve">or </w:t>
      </w:r>
      <w:r w:rsidR="005650E3" w:rsidRPr="0003653F">
        <w:rPr>
          <w:rFonts w:cs="Arial"/>
          <w:szCs w:val="20"/>
          <w:lang w:val="en-NZ"/>
        </w:rPr>
        <w:t xml:space="preserve">course being suspended for an indefinite </w:t>
      </w:r>
      <w:proofErr w:type="gramStart"/>
      <w:r w:rsidR="005650E3" w:rsidRPr="0003653F">
        <w:rPr>
          <w:rFonts w:cs="Arial"/>
          <w:szCs w:val="20"/>
          <w:lang w:val="en-NZ"/>
        </w:rPr>
        <w:t>period of time</w:t>
      </w:r>
      <w:proofErr w:type="gramEnd"/>
      <w:r w:rsidR="005650E3" w:rsidRPr="0003653F">
        <w:rPr>
          <w:rFonts w:cs="Arial"/>
          <w:szCs w:val="20"/>
          <w:lang w:val="en-NZ"/>
        </w:rPr>
        <w:t xml:space="preserve"> as a result of </w:t>
      </w:r>
      <w:r w:rsidR="00D94338" w:rsidRPr="0003653F">
        <w:rPr>
          <w:rFonts w:cs="Arial"/>
          <w:szCs w:val="20"/>
          <w:lang w:val="en-NZ"/>
        </w:rPr>
        <w:t>u</w:t>
      </w:r>
      <w:r w:rsidR="005650E3" w:rsidRPr="0003653F">
        <w:rPr>
          <w:rFonts w:cs="Arial"/>
          <w:szCs w:val="20"/>
          <w:lang w:val="en-NZ"/>
        </w:rPr>
        <w:t>nforeseen circumstance</w:t>
      </w:r>
      <w:r w:rsidR="004C1459" w:rsidRPr="0003653F">
        <w:rPr>
          <w:rFonts w:cs="Arial"/>
          <w:szCs w:val="20"/>
          <w:lang w:val="en-NZ"/>
        </w:rPr>
        <w:t>(</w:t>
      </w:r>
      <w:r w:rsidR="005650E3" w:rsidRPr="0003653F">
        <w:rPr>
          <w:rFonts w:cs="Arial"/>
          <w:szCs w:val="20"/>
          <w:lang w:val="en-NZ"/>
        </w:rPr>
        <w:t>s</w:t>
      </w:r>
      <w:r w:rsidR="004C1459" w:rsidRPr="0003653F">
        <w:rPr>
          <w:rFonts w:cs="Arial"/>
          <w:szCs w:val="20"/>
          <w:lang w:val="en-NZ"/>
        </w:rPr>
        <w:t>)</w:t>
      </w:r>
      <w:r w:rsidR="005650E3" w:rsidRPr="0003653F">
        <w:rPr>
          <w:rFonts w:cs="Arial"/>
          <w:szCs w:val="20"/>
          <w:lang w:val="en-NZ"/>
        </w:rPr>
        <w:t xml:space="preserve"> beyond </w:t>
      </w:r>
      <w:r>
        <w:rPr>
          <w:rFonts w:cs="Arial"/>
          <w:szCs w:val="20"/>
          <w:lang w:val="en-NZ"/>
        </w:rPr>
        <w:t>ATNZ</w:t>
      </w:r>
      <w:r w:rsidR="005650E3" w:rsidRPr="0003653F">
        <w:rPr>
          <w:rFonts w:cs="Arial"/>
          <w:szCs w:val="20"/>
          <w:lang w:val="en-NZ"/>
        </w:rPr>
        <w:t>’s control.</w:t>
      </w:r>
    </w:p>
    <w:p w14:paraId="5EA2D6C6" w14:textId="14D10362" w:rsidR="00DE53CF" w:rsidRDefault="00DE53CF" w:rsidP="00C577E7">
      <w:pPr>
        <w:pStyle w:val="BlockNumber"/>
        <w:numPr>
          <w:ilvl w:val="0"/>
          <w:numId w:val="0"/>
        </w:numPr>
        <w:ind w:left="1587"/>
        <w:rPr>
          <w:rFonts w:cs="Arial"/>
          <w:szCs w:val="20"/>
          <w:lang w:val="en-NZ"/>
        </w:rPr>
      </w:pPr>
    </w:p>
    <w:p w14:paraId="317B92F4" w14:textId="77777777" w:rsidR="00EC0DB8" w:rsidRDefault="00EC0DB8" w:rsidP="00C577E7">
      <w:pPr>
        <w:pStyle w:val="BlockNumber"/>
        <w:numPr>
          <w:ilvl w:val="0"/>
          <w:numId w:val="0"/>
        </w:numPr>
        <w:ind w:left="1587"/>
        <w:rPr>
          <w:rFonts w:cs="Arial"/>
          <w:szCs w:val="20"/>
          <w:lang w:val="en-NZ"/>
        </w:rPr>
      </w:pPr>
    </w:p>
    <w:p w14:paraId="489F99D3" w14:textId="77777777" w:rsidR="002D28FA" w:rsidRPr="0003653F" w:rsidRDefault="002D28FA" w:rsidP="00C577E7">
      <w:pPr>
        <w:pStyle w:val="BlockNumber"/>
        <w:numPr>
          <w:ilvl w:val="0"/>
          <w:numId w:val="0"/>
        </w:numPr>
        <w:ind w:left="1587"/>
        <w:rPr>
          <w:rFonts w:cs="Arial"/>
          <w:szCs w:val="20"/>
          <w:lang w:val="en-NZ"/>
        </w:rPr>
      </w:pPr>
    </w:p>
    <w:p w14:paraId="71663450" w14:textId="77777777" w:rsidR="007514C6" w:rsidRPr="00032FAF" w:rsidRDefault="00BC69A8" w:rsidP="004337B2">
      <w:pPr>
        <w:pStyle w:val="Heading1No"/>
        <w:rPr>
          <w:lang w:val="en-NZ"/>
        </w:rPr>
      </w:pPr>
      <w:bookmarkStart w:id="22" w:name="_Ref213815752"/>
      <w:bookmarkStart w:id="23" w:name="_Toc352741616"/>
      <w:bookmarkStart w:id="24" w:name="_Toc352763802"/>
      <w:bookmarkStart w:id="25" w:name="_Toc105753599"/>
      <w:r w:rsidRPr="004337B2">
        <w:t>Withdrawals</w:t>
      </w:r>
      <w:bookmarkEnd w:id="22"/>
      <w:bookmarkEnd w:id="23"/>
      <w:bookmarkEnd w:id="24"/>
      <w:bookmarkEnd w:id="25"/>
      <w:r w:rsidRPr="00032FAF">
        <w:rPr>
          <w:lang w:val="en-NZ"/>
        </w:rPr>
        <w:t xml:space="preserve"> </w:t>
      </w:r>
    </w:p>
    <w:p w14:paraId="78F1E29C" w14:textId="77777777" w:rsidR="005A0A88" w:rsidRPr="00032FAF" w:rsidRDefault="0058359B" w:rsidP="00766BF9">
      <w:pPr>
        <w:pStyle w:val="Heading2No"/>
        <w:rPr>
          <w:rFonts w:cs="Arial"/>
          <w:szCs w:val="20"/>
          <w:lang w:val="en-NZ"/>
        </w:rPr>
      </w:pPr>
      <w:r w:rsidRPr="00032FAF">
        <w:rPr>
          <w:rFonts w:cs="Arial"/>
          <w:szCs w:val="20"/>
          <w:lang w:val="en-NZ"/>
        </w:rPr>
        <w:t>General provisions</w:t>
      </w:r>
    </w:p>
    <w:p w14:paraId="728F7D1F" w14:textId="698355D6" w:rsidR="00736967" w:rsidRPr="0003653F" w:rsidRDefault="00893B2F">
      <w:pPr>
        <w:pStyle w:val="BlockNumber"/>
        <w:ind w:left="1587" w:hanging="873"/>
        <w:rPr>
          <w:rFonts w:cs="Arial"/>
          <w:szCs w:val="20"/>
          <w:lang w:val="en-NZ"/>
        </w:rPr>
      </w:pPr>
      <w:r>
        <w:rPr>
          <w:rFonts w:cs="Arial"/>
          <w:szCs w:val="20"/>
          <w:lang w:val="en-NZ"/>
        </w:rPr>
        <w:t>Learner</w:t>
      </w:r>
      <w:r w:rsidR="00BC69A8" w:rsidRPr="0003653F">
        <w:rPr>
          <w:rFonts w:cs="Arial"/>
          <w:szCs w:val="20"/>
          <w:lang w:val="en-NZ"/>
        </w:rPr>
        <w:t xml:space="preserve">s may apply to withdraw from a </w:t>
      </w:r>
      <w:r w:rsidR="00157E10">
        <w:rPr>
          <w:rFonts w:cs="Arial"/>
          <w:szCs w:val="20"/>
          <w:lang w:val="en-NZ"/>
        </w:rPr>
        <w:t>programme</w:t>
      </w:r>
      <w:r w:rsidR="004E7E98">
        <w:rPr>
          <w:rFonts w:cs="Arial"/>
          <w:szCs w:val="20"/>
          <w:lang w:val="en-NZ"/>
        </w:rPr>
        <w:t xml:space="preserve">, </w:t>
      </w:r>
      <w:proofErr w:type="spellStart"/>
      <w:r w:rsidR="004E7E98">
        <w:rPr>
          <w:rFonts w:cs="Arial"/>
          <w:szCs w:val="20"/>
          <w:lang w:val="en-NZ"/>
        </w:rPr>
        <w:t>microcredential</w:t>
      </w:r>
      <w:proofErr w:type="spellEnd"/>
      <w:r w:rsidR="00157E10">
        <w:rPr>
          <w:rFonts w:cs="Arial"/>
          <w:szCs w:val="20"/>
          <w:lang w:val="en-NZ"/>
        </w:rPr>
        <w:t xml:space="preserve"> or </w:t>
      </w:r>
      <w:r w:rsidR="00BC69A8" w:rsidRPr="0003653F">
        <w:rPr>
          <w:rFonts w:cs="Arial"/>
          <w:szCs w:val="20"/>
          <w:lang w:val="en-NZ"/>
        </w:rPr>
        <w:t xml:space="preserve">course by completing and </w:t>
      </w:r>
      <w:r w:rsidR="004539C1" w:rsidRPr="0003653F">
        <w:rPr>
          <w:rFonts w:cs="Arial"/>
          <w:szCs w:val="20"/>
          <w:lang w:val="en-NZ"/>
        </w:rPr>
        <w:t>submitting</w:t>
      </w:r>
      <w:r w:rsidR="00BC69A8" w:rsidRPr="0003653F">
        <w:rPr>
          <w:rFonts w:cs="Arial"/>
          <w:szCs w:val="20"/>
          <w:lang w:val="en-NZ"/>
        </w:rPr>
        <w:t xml:space="preserve"> a </w:t>
      </w:r>
      <w:r w:rsidR="00BC69A8" w:rsidRPr="0003653F">
        <w:rPr>
          <w:rFonts w:cs="Arial"/>
          <w:i/>
          <w:szCs w:val="20"/>
          <w:lang w:val="en-NZ"/>
        </w:rPr>
        <w:t xml:space="preserve">Withdrawal </w:t>
      </w:r>
      <w:r w:rsidR="00F51C80" w:rsidRPr="0003653F">
        <w:rPr>
          <w:rFonts w:cs="Arial"/>
          <w:szCs w:val="20"/>
          <w:lang w:val="en-NZ"/>
        </w:rPr>
        <w:t>f</w:t>
      </w:r>
      <w:r w:rsidR="00BC69A8" w:rsidRPr="0003653F">
        <w:rPr>
          <w:rFonts w:cs="Arial"/>
          <w:szCs w:val="20"/>
          <w:lang w:val="en-NZ"/>
        </w:rPr>
        <w:t>orm</w:t>
      </w:r>
      <w:r w:rsidR="00BC69A8" w:rsidRPr="0003653F">
        <w:rPr>
          <w:rFonts w:cs="Arial"/>
          <w:szCs w:val="20"/>
          <w:vertAlign w:val="superscript"/>
        </w:rPr>
        <w:footnoteReference w:id="4"/>
      </w:r>
      <w:r w:rsidR="00BC69A8" w:rsidRPr="0003653F">
        <w:rPr>
          <w:rFonts w:cs="Arial"/>
          <w:szCs w:val="20"/>
          <w:lang w:val="en-NZ"/>
        </w:rPr>
        <w:t>.</w:t>
      </w:r>
    </w:p>
    <w:p w14:paraId="05BFF13F" w14:textId="608E0AF0" w:rsidR="002F0892" w:rsidRPr="0003653F" w:rsidRDefault="002F0892" w:rsidP="002F0892">
      <w:pPr>
        <w:pStyle w:val="BlockNumber"/>
        <w:ind w:left="1587" w:hanging="873"/>
        <w:rPr>
          <w:rFonts w:cs="Arial"/>
          <w:szCs w:val="20"/>
          <w:lang w:val="en-NZ"/>
        </w:rPr>
      </w:pPr>
      <w:r w:rsidRPr="0003653F">
        <w:rPr>
          <w:rFonts w:cs="Arial"/>
          <w:szCs w:val="20"/>
          <w:lang w:val="en-NZ"/>
        </w:rPr>
        <w:t xml:space="preserve">Withdrawal applications shall only be accepted within the enrolment period for which </w:t>
      </w:r>
      <w:r w:rsidR="00893B2F">
        <w:rPr>
          <w:rFonts w:cs="Arial"/>
          <w:szCs w:val="20"/>
          <w:lang w:val="en-NZ"/>
        </w:rPr>
        <w:t>learner</w:t>
      </w:r>
      <w:r w:rsidRPr="0003653F">
        <w:rPr>
          <w:rFonts w:cs="Arial"/>
          <w:szCs w:val="20"/>
          <w:lang w:val="en-NZ"/>
        </w:rPr>
        <w:t xml:space="preserve">s are enrolled in a </w:t>
      </w:r>
      <w:r w:rsidR="00393694">
        <w:rPr>
          <w:rFonts w:cs="Arial"/>
          <w:szCs w:val="20"/>
          <w:lang w:val="en-NZ"/>
        </w:rPr>
        <w:t xml:space="preserve">programme or </w:t>
      </w:r>
      <w:r w:rsidRPr="0003653F">
        <w:rPr>
          <w:rFonts w:cs="Arial"/>
          <w:szCs w:val="20"/>
          <w:lang w:val="en-NZ"/>
        </w:rPr>
        <w:t>course.</w:t>
      </w:r>
    </w:p>
    <w:p w14:paraId="2F96AF6A" w14:textId="45EAF580" w:rsidR="00736967" w:rsidRPr="0003653F" w:rsidRDefault="00BC69A8">
      <w:pPr>
        <w:pStyle w:val="BlockNumber"/>
        <w:ind w:left="1587" w:hanging="873"/>
        <w:rPr>
          <w:rFonts w:cs="Arial"/>
          <w:szCs w:val="20"/>
          <w:lang w:val="en-NZ"/>
        </w:rPr>
      </w:pPr>
      <w:r w:rsidRPr="0003653F">
        <w:rPr>
          <w:rFonts w:cs="Arial"/>
          <w:szCs w:val="20"/>
          <w:lang w:val="en-NZ"/>
        </w:rPr>
        <w:t xml:space="preserve">Withdrawal from a </w:t>
      </w:r>
      <w:r w:rsidR="00393694">
        <w:rPr>
          <w:rFonts w:cs="Arial"/>
          <w:szCs w:val="20"/>
          <w:lang w:val="en-NZ"/>
        </w:rPr>
        <w:t>programme</w:t>
      </w:r>
      <w:r w:rsidR="00FF3B4F">
        <w:rPr>
          <w:rFonts w:cs="Arial"/>
          <w:szCs w:val="20"/>
          <w:lang w:val="en-NZ"/>
        </w:rPr>
        <w:t xml:space="preserve">, </w:t>
      </w:r>
      <w:proofErr w:type="spellStart"/>
      <w:r w:rsidR="00FF3B4F">
        <w:rPr>
          <w:rFonts w:cs="Arial"/>
          <w:szCs w:val="20"/>
          <w:lang w:val="en-NZ"/>
        </w:rPr>
        <w:t>microcredential</w:t>
      </w:r>
      <w:proofErr w:type="spellEnd"/>
      <w:r w:rsidR="00FF3B4F">
        <w:rPr>
          <w:rFonts w:cs="Arial"/>
          <w:szCs w:val="20"/>
          <w:lang w:val="en-NZ"/>
        </w:rPr>
        <w:t xml:space="preserve"> </w:t>
      </w:r>
      <w:r w:rsidR="00393694">
        <w:rPr>
          <w:rFonts w:cs="Arial"/>
          <w:szCs w:val="20"/>
          <w:lang w:val="en-NZ"/>
        </w:rPr>
        <w:t xml:space="preserve">or </w:t>
      </w:r>
      <w:r w:rsidRPr="0003653F">
        <w:rPr>
          <w:rFonts w:cs="Arial"/>
          <w:szCs w:val="20"/>
          <w:lang w:val="en-NZ"/>
        </w:rPr>
        <w:t xml:space="preserve">course </w:t>
      </w:r>
      <w:r w:rsidR="001937B2" w:rsidRPr="0003653F">
        <w:rPr>
          <w:rFonts w:cs="Arial"/>
          <w:szCs w:val="20"/>
          <w:lang w:val="en-NZ"/>
        </w:rPr>
        <w:t>does not</w:t>
      </w:r>
      <w:r w:rsidRPr="0003653F">
        <w:rPr>
          <w:rFonts w:cs="Arial"/>
          <w:szCs w:val="20"/>
          <w:lang w:val="en-NZ"/>
        </w:rPr>
        <w:t xml:space="preserve"> prejudice </w:t>
      </w:r>
      <w:r w:rsidR="004811E6" w:rsidRPr="0003653F">
        <w:rPr>
          <w:rFonts w:cs="Arial"/>
          <w:szCs w:val="20"/>
          <w:lang w:val="en-NZ"/>
        </w:rPr>
        <w:t>a</w:t>
      </w:r>
      <w:r w:rsidRPr="0003653F">
        <w:rPr>
          <w:rFonts w:cs="Arial"/>
          <w:szCs w:val="20"/>
          <w:lang w:val="en-NZ"/>
        </w:rPr>
        <w:t xml:space="preserve"> </w:t>
      </w:r>
      <w:r w:rsidR="00893B2F">
        <w:rPr>
          <w:rFonts w:cs="Arial"/>
          <w:szCs w:val="20"/>
          <w:lang w:val="en-NZ"/>
        </w:rPr>
        <w:t>learner</w:t>
      </w:r>
      <w:r w:rsidRPr="0003653F">
        <w:rPr>
          <w:rFonts w:cs="Arial"/>
          <w:szCs w:val="20"/>
          <w:lang w:val="en-NZ"/>
        </w:rPr>
        <w:t xml:space="preserve">’s right to apply for re-enrolment in that </w:t>
      </w:r>
      <w:r w:rsidR="00157E10">
        <w:rPr>
          <w:rFonts w:cs="Arial"/>
          <w:szCs w:val="20"/>
          <w:lang w:val="en-NZ"/>
        </w:rPr>
        <w:t>programme</w:t>
      </w:r>
      <w:r w:rsidR="004E7E98">
        <w:rPr>
          <w:rFonts w:cs="Arial"/>
          <w:szCs w:val="20"/>
          <w:lang w:val="en-NZ"/>
        </w:rPr>
        <w:t xml:space="preserve">, </w:t>
      </w:r>
      <w:proofErr w:type="spellStart"/>
      <w:r w:rsidR="004E7E98">
        <w:rPr>
          <w:rFonts w:cs="Arial"/>
          <w:szCs w:val="20"/>
          <w:lang w:val="en-NZ"/>
        </w:rPr>
        <w:t>microcredential</w:t>
      </w:r>
      <w:proofErr w:type="spellEnd"/>
      <w:r w:rsidR="00157E10">
        <w:rPr>
          <w:rFonts w:cs="Arial"/>
          <w:szCs w:val="20"/>
          <w:lang w:val="en-NZ"/>
        </w:rPr>
        <w:t xml:space="preserve"> or </w:t>
      </w:r>
      <w:r w:rsidRPr="0003653F">
        <w:rPr>
          <w:rFonts w:cs="Arial"/>
          <w:szCs w:val="20"/>
          <w:lang w:val="en-NZ"/>
        </w:rPr>
        <w:t>course</w:t>
      </w:r>
      <w:r w:rsidR="001C1578" w:rsidRPr="0003653F">
        <w:rPr>
          <w:rFonts w:cs="Arial"/>
          <w:szCs w:val="20"/>
          <w:lang w:val="en-NZ"/>
        </w:rPr>
        <w:t>.</w:t>
      </w:r>
    </w:p>
    <w:p w14:paraId="42D451D2" w14:textId="164F5632" w:rsidR="0058359B" w:rsidRPr="0003653F" w:rsidRDefault="00893B2F">
      <w:pPr>
        <w:pStyle w:val="BlockNumber"/>
        <w:ind w:left="1587" w:hanging="873"/>
        <w:rPr>
          <w:rFonts w:cs="Arial"/>
          <w:szCs w:val="20"/>
          <w:lang w:val="en-NZ"/>
        </w:rPr>
      </w:pPr>
      <w:r>
        <w:rPr>
          <w:rFonts w:cs="Arial"/>
          <w:szCs w:val="20"/>
          <w:lang w:val="en-NZ"/>
        </w:rPr>
        <w:t>Learner</w:t>
      </w:r>
      <w:r w:rsidR="0058359B" w:rsidRPr="0003653F">
        <w:rPr>
          <w:rFonts w:cs="Arial"/>
          <w:szCs w:val="20"/>
          <w:lang w:val="en-NZ"/>
        </w:rPr>
        <w:t xml:space="preserve">s who enrol </w:t>
      </w:r>
      <w:r w:rsidR="00CF5830" w:rsidRPr="0003653F">
        <w:rPr>
          <w:rFonts w:cs="Arial"/>
          <w:szCs w:val="20"/>
          <w:lang w:val="en-NZ"/>
        </w:rPr>
        <w:t xml:space="preserve">prior to receiving their results from </w:t>
      </w:r>
      <w:r w:rsidR="009C4297" w:rsidRPr="0003653F">
        <w:rPr>
          <w:rFonts w:cs="Arial"/>
          <w:szCs w:val="20"/>
          <w:lang w:val="en-NZ"/>
        </w:rPr>
        <w:t xml:space="preserve">a </w:t>
      </w:r>
      <w:r w:rsidR="00CF5830" w:rsidRPr="0003653F">
        <w:rPr>
          <w:rFonts w:cs="Arial"/>
          <w:szCs w:val="20"/>
          <w:lang w:val="en-NZ"/>
        </w:rPr>
        <w:t>previous course</w:t>
      </w:r>
      <w:r w:rsidR="005754BA" w:rsidRPr="0003653F">
        <w:rPr>
          <w:rFonts w:cs="Arial"/>
          <w:szCs w:val="20"/>
          <w:lang w:val="en-NZ"/>
        </w:rPr>
        <w:t>/s</w:t>
      </w:r>
      <w:r w:rsidR="00337986" w:rsidRPr="0003653F">
        <w:rPr>
          <w:rFonts w:cs="Arial"/>
          <w:szCs w:val="20"/>
          <w:lang w:val="en-NZ"/>
        </w:rPr>
        <w:t>,</w:t>
      </w:r>
      <w:r w:rsidR="0058359B" w:rsidRPr="0003653F">
        <w:rPr>
          <w:rFonts w:cs="Arial"/>
          <w:szCs w:val="20"/>
          <w:lang w:val="en-NZ"/>
        </w:rPr>
        <w:t xml:space="preserve"> and it later eventuates that they have not passed </w:t>
      </w:r>
      <w:r w:rsidR="006C3A78" w:rsidRPr="0003653F">
        <w:rPr>
          <w:rFonts w:cs="Arial"/>
          <w:szCs w:val="20"/>
          <w:lang w:val="en-NZ"/>
        </w:rPr>
        <w:t xml:space="preserve">a </w:t>
      </w:r>
      <w:r w:rsidR="0058359B" w:rsidRPr="0003653F">
        <w:rPr>
          <w:rFonts w:cs="Arial"/>
          <w:szCs w:val="20"/>
          <w:lang w:val="en-NZ"/>
        </w:rPr>
        <w:t>pre</w:t>
      </w:r>
      <w:r w:rsidR="00EC178A" w:rsidRPr="0003653F">
        <w:rPr>
          <w:rFonts w:cs="Arial"/>
          <w:szCs w:val="20"/>
          <w:lang w:val="en-NZ"/>
        </w:rPr>
        <w:t>-</w:t>
      </w:r>
      <w:r w:rsidR="0058359B" w:rsidRPr="0003653F">
        <w:rPr>
          <w:rFonts w:cs="Arial"/>
          <w:szCs w:val="20"/>
          <w:lang w:val="en-NZ"/>
        </w:rPr>
        <w:t>requisite course</w:t>
      </w:r>
      <w:r w:rsidR="00CF5830" w:rsidRPr="0003653F">
        <w:rPr>
          <w:rFonts w:cs="Arial"/>
          <w:szCs w:val="20"/>
          <w:lang w:val="en-NZ"/>
        </w:rPr>
        <w:t>,</w:t>
      </w:r>
      <w:r w:rsidR="0058359B" w:rsidRPr="0003653F">
        <w:rPr>
          <w:rFonts w:cs="Arial"/>
          <w:szCs w:val="20"/>
          <w:lang w:val="en-NZ"/>
        </w:rPr>
        <w:t xml:space="preserve"> must ensure that their enrolment is withdrawn and</w:t>
      </w:r>
      <w:r w:rsidR="006C3A78" w:rsidRPr="0003653F">
        <w:rPr>
          <w:rFonts w:cs="Arial"/>
          <w:szCs w:val="20"/>
          <w:lang w:val="en-NZ"/>
        </w:rPr>
        <w:t>,</w:t>
      </w:r>
      <w:r w:rsidR="0058359B" w:rsidRPr="0003653F">
        <w:rPr>
          <w:rFonts w:cs="Arial"/>
          <w:szCs w:val="20"/>
          <w:lang w:val="en-NZ"/>
        </w:rPr>
        <w:t xml:space="preserve"> if appropriate, another </w:t>
      </w:r>
      <w:r w:rsidR="00BA4A08" w:rsidRPr="0003653F">
        <w:rPr>
          <w:rFonts w:cs="Arial"/>
          <w:szCs w:val="20"/>
          <w:lang w:val="en-NZ"/>
        </w:rPr>
        <w:t xml:space="preserve">enrolment is </w:t>
      </w:r>
      <w:r w:rsidR="0058359B" w:rsidRPr="0003653F">
        <w:rPr>
          <w:rFonts w:cs="Arial"/>
          <w:szCs w:val="20"/>
          <w:lang w:val="en-NZ"/>
        </w:rPr>
        <w:t xml:space="preserve">substituted before the course commences.  </w:t>
      </w:r>
      <w:r>
        <w:rPr>
          <w:rFonts w:cs="Arial"/>
          <w:szCs w:val="20"/>
          <w:lang w:val="en-NZ"/>
        </w:rPr>
        <w:t>ATNZ</w:t>
      </w:r>
      <w:r w:rsidR="0058359B" w:rsidRPr="0003653F">
        <w:rPr>
          <w:rFonts w:cs="Arial"/>
          <w:szCs w:val="20"/>
          <w:lang w:val="en-NZ"/>
        </w:rPr>
        <w:t xml:space="preserve"> reserves the right to cancel </w:t>
      </w:r>
      <w:r w:rsidR="006C3A78" w:rsidRPr="0003653F">
        <w:rPr>
          <w:rFonts w:cs="Arial"/>
          <w:szCs w:val="20"/>
          <w:lang w:val="en-NZ"/>
        </w:rPr>
        <w:t xml:space="preserve">a </w:t>
      </w:r>
      <w:r>
        <w:rPr>
          <w:rFonts w:cs="Arial"/>
          <w:szCs w:val="20"/>
          <w:lang w:val="en-NZ"/>
        </w:rPr>
        <w:t>learner</w:t>
      </w:r>
      <w:r w:rsidR="006C3A78" w:rsidRPr="0003653F">
        <w:rPr>
          <w:rFonts w:cs="Arial"/>
          <w:szCs w:val="20"/>
          <w:lang w:val="en-NZ"/>
        </w:rPr>
        <w:t xml:space="preserve">’s </w:t>
      </w:r>
      <w:r w:rsidR="0058359B" w:rsidRPr="0003653F">
        <w:rPr>
          <w:rFonts w:cs="Arial"/>
          <w:szCs w:val="20"/>
          <w:lang w:val="en-NZ"/>
        </w:rPr>
        <w:t xml:space="preserve">enrolment </w:t>
      </w:r>
      <w:r w:rsidR="006C3A78" w:rsidRPr="0003653F">
        <w:rPr>
          <w:rFonts w:cs="Arial"/>
          <w:szCs w:val="20"/>
          <w:lang w:val="en-NZ"/>
        </w:rPr>
        <w:t>in a course where they do not meet the pre-requisite for enrolment</w:t>
      </w:r>
      <w:r w:rsidR="00C8403F" w:rsidRPr="0003653F">
        <w:rPr>
          <w:rFonts w:cs="Arial"/>
          <w:szCs w:val="20"/>
          <w:lang w:val="en-NZ"/>
        </w:rPr>
        <w:t xml:space="preserve"> (see section </w:t>
      </w:r>
      <w:r w:rsidR="00AA5AEF">
        <w:rPr>
          <w:rFonts w:cs="Arial"/>
          <w:szCs w:val="20"/>
          <w:lang w:val="en-NZ"/>
        </w:rPr>
        <w:t>3</w:t>
      </w:r>
      <w:r w:rsidR="00C8403F" w:rsidRPr="0003653F">
        <w:rPr>
          <w:rFonts w:cs="Arial"/>
          <w:szCs w:val="20"/>
          <w:lang w:val="en-NZ"/>
        </w:rPr>
        <w:t>.8: Refusal or cancellation of enrolment</w:t>
      </w:r>
      <w:r w:rsidR="000B38E1" w:rsidRPr="0003653F">
        <w:rPr>
          <w:rFonts w:cs="Arial"/>
          <w:szCs w:val="20"/>
          <w:lang w:val="en-NZ"/>
        </w:rPr>
        <w:t xml:space="preserve"> and section </w:t>
      </w:r>
      <w:r w:rsidR="00AA5AEF">
        <w:rPr>
          <w:rFonts w:cs="Arial"/>
          <w:szCs w:val="20"/>
          <w:lang w:val="en-NZ"/>
        </w:rPr>
        <w:t>9</w:t>
      </w:r>
      <w:r w:rsidR="000B38E1" w:rsidRPr="0003653F">
        <w:rPr>
          <w:rFonts w:cs="Arial"/>
          <w:szCs w:val="20"/>
          <w:lang w:val="en-NZ"/>
        </w:rPr>
        <w:t xml:space="preserve">: </w:t>
      </w:r>
      <w:r w:rsidR="000B38E1" w:rsidRPr="0003653F">
        <w:rPr>
          <w:rFonts w:cs="Arial"/>
          <w:szCs w:val="20"/>
        </w:rPr>
        <w:fldChar w:fldCharType="begin"/>
      </w:r>
      <w:r w:rsidR="000B38E1" w:rsidRPr="0003653F">
        <w:rPr>
          <w:rFonts w:cs="Arial"/>
          <w:szCs w:val="20"/>
        </w:rPr>
        <w:instrText xml:space="preserve"> REF _Ref221097112 \h  \* MERGEFORMAT </w:instrText>
      </w:r>
      <w:r w:rsidR="000B38E1" w:rsidRPr="0003653F">
        <w:rPr>
          <w:rFonts w:cs="Arial"/>
          <w:szCs w:val="20"/>
        </w:rPr>
      </w:r>
      <w:r w:rsidR="000B38E1" w:rsidRPr="0003653F">
        <w:rPr>
          <w:rFonts w:cs="Arial"/>
          <w:szCs w:val="20"/>
        </w:rPr>
        <w:fldChar w:fldCharType="separate"/>
      </w:r>
      <w:r w:rsidR="00E12AEE" w:rsidRPr="0003653F">
        <w:rPr>
          <w:rFonts w:cs="Arial"/>
          <w:szCs w:val="20"/>
          <w:lang w:val="en-NZ"/>
        </w:rPr>
        <w:t>Academic Progress</w:t>
      </w:r>
      <w:r w:rsidR="000B38E1" w:rsidRPr="0003653F">
        <w:rPr>
          <w:rFonts w:cs="Arial"/>
          <w:szCs w:val="20"/>
        </w:rPr>
        <w:fldChar w:fldCharType="end"/>
      </w:r>
      <w:r w:rsidR="00C8403F" w:rsidRPr="0003653F">
        <w:rPr>
          <w:rFonts w:cs="Arial"/>
          <w:szCs w:val="20"/>
          <w:lang w:val="en-NZ"/>
        </w:rPr>
        <w:t>)</w:t>
      </w:r>
      <w:r w:rsidR="003E72E4" w:rsidRPr="0003653F">
        <w:rPr>
          <w:rFonts w:cs="Arial"/>
          <w:szCs w:val="20"/>
          <w:lang w:val="en-NZ"/>
        </w:rPr>
        <w:t>.</w:t>
      </w:r>
    </w:p>
    <w:p w14:paraId="6653B6BC" w14:textId="727CEF8F" w:rsidR="005A0A88" w:rsidRDefault="00893B2F" w:rsidP="00766BF9">
      <w:pPr>
        <w:pStyle w:val="BlockNumber"/>
        <w:ind w:left="1587" w:hanging="873"/>
        <w:rPr>
          <w:rFonts w:cs="Arial"/>
          <w:szCs w:val="20"/>
          <w:lang w:val="en-NZ"/>
        </w:rPr>
      </w:pPr>
      <w:r>
        <w:rPr>
          <w:rFonts w:cs="Arial"/>
          <w:szCs w:val="20"/>
          <w:lang w:val="en-NZ"/>
        </w:rPr>
        <w:lastRenderedPageBreak/>
        <w:t>Learner</w:t>
      </w:r>
      <w:r w:rsidR="003E72E4" w:rsidRPr="0003653F">
        <w:rPr>
          <w:rFonts w:cs="Arial"/>
          <w:szCs w:val="20"/>
          <w:lang w:val="en-NZ"/>
        </w:rPr>
        <w:t>s who enrol</w:t>
      </w:r>
      <w:r w:rsidR="00BC69A8" w:rsidRPr="0003653F">
        <w:rPr>
          <w:rFonts w:cs="Arial"/>
          <w:szCs w:val="20"/>
          <w:lang w:val="en-NZ"/>
        </w:rPr>
        <w:t xml:space="preserve"> before progress has been assessed and </w:t>
      </w:r>
      <w:r w:rsidR="009C4297" w:rsidRPr="0003653F">
        <w:rPr>
          <w:rFonts w:cs="Arial"/>
          <w:szCs w:val="20"/>
          <w:lang w:val="en-NZ"/>
        </w:rPr>
        <w:t xml:space="preserve">who </w:t>
      </w:r>
      <w:r w:rsidR="00C8403F" w:rsidRPr="0003653F">
        <w:rPr>
          <w:rFonts w:cs="Arial"/>
          <w:szCs w:val="20"/>
          <w:lang w:val="en-NZ"/>
        </w:rPr>
        <w:t>later</w:t>
      </w:r>
      <w:r w:rsidR="006C3A78" w:rsidRPr="0003653F">
        <w:rPr>
          <w:rFonts w:cs="Arial"/>
          <w:szCs w:val="20"/>
          <w:lang w:val="en-NZ"/>
        </w:rPr>
        <w:t xml:space="preserve"> </w:t>
      </w:r>
      <w:r w:rsidR="00BC69A8" w:rsidRPr="0003653F">
        <w:rPr>
          <w:rFonts w:cs="Arial"/>
          <w:szCs w:val="20"/>
          <w:lang w:val="en-NZ"/>
        </w:rPr>
        <w:t>become subject to exclusion from a programme</w:t>
      </w:r>
      <w:r w:rsidR="00393694">
        <w:rPr>
          <w:rFonts w:cs="Arial"/>
          <w:szCs w:val="20"/>
          <w:lang w:val="en-NZ"/>
        </w:rPr>
        <w:t xml:space="preserve"> </w:t>
      </w:r>
      <w:r w:rsidR="00144BB2" w:rsidRPr="0003653F">
        <w:rPr>
          <w:rFonts w:cs="Arial"/>
          <w:szCs w:val="20"/>
          <w:lang w:val="en-NZ"/>
        </w:rPr>
        <w:t xml:space="preserve">or </w:t>
      </w:r>
      <w:r w:rsidR="00BC69A8" w:rsidRPr="0003653F">
        <w:rPr>
          <w:rFonts w:cs="Arial"/>
          <w:szCs w:val="20"/>
          <w:lang w:val="en-NZ"/>
        </w:rPr>
        <w:t>course</w:t>
      </w:r>
      <w:r w:rsidR="006C3A78" w:rsidRPr="0003653F">
        <w:rPr>
          <w:rFonts w:cs="Arial"/>
          <w:szCs w:val="20"/>
          <w:lang w:val="en-NZ"/>
        </w:rPr>
        <w:t xml:space="preserve"> </w:t>
      </w:r>
      <w:proofErr w:type="gramStart"/>
      <w:r w:rsidR="006C3A78" w:rsidRPr="0003653F">
        <w:rPr>
          <w:rFonts w:cs="Arial"/>
          <w:szCs w:val="20"/>
          <w:lang w:val="en-NZ"/>
        </w:rPr>
        <w:t>as a result of</w:t>
      </w:r>
      <w:proofErr w:type="gramEnd"/>
      <w:r w:rsidR="006C3A78" w:rsidRPr="0003653F">
        <w:rPr>
          <w:rFonts w:cs="Arial"/>
          <w:szCs w:val="20"/>
          <w:lang w:val="en-NZ"/>
        </w:rPr>
        <w:t xml:space="preserve"> </w:t>
      </w:r>
      <w:r w:rsidR="00144BB2" w:rsidRPr="0003653F">
        <w:rPr>
          <w:rFonts w:cs="Arial"/>
          <w:szCs w:val="20"/>
          <w:lang w:val="en-NZ"/>
        </w:rPr>
        <w:t>insufficient progress</w:t>
      </w:r>
      <w:r w:rsidR="00BC69A8" w:rsidRPr="0003653F">
        <w:rPr>
          <w:rFonts w:cs="Arial"/>
          <w:szCs w:val="20"/>
          <w:lang w:val="en-NZ"/>
        </w:rPr>
        <w:t>, must withdraw from any affected programme</w:t>
      </w:r>
      <w:r w:rsidR="00144BB2" w:rsidRPr="0003653F">
        <w:rPr>
          <w:rFonts w:cs="Arial"/>
          <w:szCs w:val="20"/>
          <w:lang w:val="en-NZ"/>
        </w:rPr>
        <w:t xml:space="preserve">, training scheme or </w:t>
      </w:r>
      <w:r w:rsidR="00BC69A8" w:rsidRPr="0003653F">
        <w:rPr>
          <w:rFonts w:cs="Arial"/>
          <w:szCs w:val="20"/>
          <w:lang w:val="en-NZ"/>
        </w:rPr>
        <w:t xml:space="preserve">course.  </w:t>
      </w:r>
      <w:r>
        <w:rPr>
          <w:rFonts w:cs="Arial"/>
          <w:szCs w:val="20"/>
          <w:lang w:val="en-NZ"/>
        </w:rPr>
        <w:t>ATNZ</w:t>
      </w:r>
      <w:r w:rsidR="00BC69A8" w:rsidRPr="0003653F">
        <w:rPr>
          <w:rFonts w:cs="Arial"/>
          <w:szCs w:val="20"/>
          <w:lang w:val="en-NZ"/>
        </w:rPr>
        <w:t xml:space="preserve"> reserves the right to cancel such enrolments at its discretion</w:t>
      </w:r>
      <w:r w:rsidR="00873C9B" w:rsidRPr="0003653F">
        <w:rPr>
          <w:rFonts w:cs="Arial"/>
          <w:szCs w:val="20"/>
          <w:lang w:val="en-NZ"/>
        </w:rPr>
        <w:t xml:space="preserve"> (see section </w:t>
      </w:r>
      <w:r w:rsidR="00AA5AEF">
        <w:rPr>
          <w:rFonts w:cs="Arial"/>
          <w:szCs w:val="20"/>
          <w:lang w:val="en-NZ"/>
        </w:rPr>
        <w:t>3.</w:t>
      </w:r>
      <w:r w:rsidR="00873C9B" w:rsidRPr="0003653F">
        <w:rPr>
          <w:rFonts w:cs="Arial"/>
          <w:szCs w:val="20"/>
          <w:lang w:val="en-NZ"/>
        </w:rPr>
        <w:t xml:space="preserve">8: Refusal or cancellation of enrolment and section </w:t>
      </w:r>
      <w:r w:rsidR="00AA5AEF">
        <w:rPr>
          <w:rFonts w:cs="Arial"/>
          <w:szCs w:val="20"/>
          <w:lang w:val="en-NZ"/>
        </w:rPr>
        <w:t>9</w:t>
      </w:r>
      <w:r w:rsidR="00873C9B" w:rsidRPr="0003653F">
        <w:rPr>
          <w:rFonts w:cs="Arial"/>
          <w:szCs w:val="20"/>
          <w:lang w:val="en-NZ"/>
        </w:rPr>
        <w:t xml:space="preserve">: </w:t>
      </w:r>
      <w:r w:rsidR="0094056C" w:rsidRPr="0003653F">
        <w:rPr>
          <w:rFonts w:cs="Arial"/>
          <w:szCs w:val="20"/>
        </w:rPr>
        <w:fldChar w:fldCharType="begin"/>
      </w:r>
      <w:r w:rsidR="0094056C" w:rsidRPr="0003653F">
        <w:rPr>
          <w:rFonts w:cs="Arial"/>
          <w:szCs w:val="20"/>
        </w:rPr>
        <w:instrText xml:space="preserve"> REF _Ref221097112 \h  \* MERGEFORMAT </w:instrText>
      </w:r>
      <w:r w:rsidR="0094056C" w:rsidRPr="0003653F">
        <w:rPr>
          <w:rFonts w:cs="Arial"/>
          <w:szCs w:val="20"/>
        </w:rPr>
      </w:r>
      <w:r w:rsidR="0094056C" w:rsidRPr="0003653F">
        <w:rPr>
          <w:rFonts w:cs="Arial"/>
          <w:szCs w:val="20"/>
        </w:rPr>
        <w:fldChar w:fldCharType="separate"/>
      </w:r>
      <w:r w:rsidR="00E12AEE" w:rsidRPr="0003653F">
        <w:rPr>
          <w:rFonts w:cs="Arial"/>
          <w:szCs w:val="20"/>
          <w:lang w:val="en-NZ"/>
        </w:rPr>
        <w:t>Academic Progress</w:t>
      </w:r>
      <w:r w:rsidR="0094056C" w:rsidRPr="0003653F">
        <w:rPr>
          <w:rFonts w:cs="Arial"/>
          <w:szCs w:val="20"/>
        </w:rPr>
        <w:fldChar w:fldCharType="end"/>
      </w:r>
      <w:r w:rsidR="00873C9B" w:rsidRPr="0003653F">
        <w:rPr>
          <w:rFonts w:cs="Arial"/>
          <w:szCs w:val="20"/>
          <w:lang w:val="en-NZ"/>
        </w:rPr>
        <w:t>).</w:t>
      </w:r>
    </w:p>
    <w:p w14:paraId="34963525" w14:textId="54CC79A8" w:rsidR="00F501C0" w:rsidRPr="0003653F" w:rsidRDefault="00893B2F" w:rsidP="00766BF9">
      <w:pPr>
        <w:pStyle w:val="BlockNumber"/>
        <w:ind w:left="1587" w:hanging="873"/>
        <w:rPr>
          <w:rFonts w:cs="Arial"/>
          <w:szCs w:val="20"/>
          <w:lang w:val="en-NZ"/>
        </w:rPr>
      </w:pPr>
      <w:r>
        <w:rPr>
          <w:rFonts w:cs="Arial"/>
          <w:szCs w:val="20"/>
          <w:lang w:val="en-NZ"/>
        </w:rPr>
        <w:t>ATNZ</w:t>
      </w:r>
      <w:r w:rsidR="00F501C0">
        <w:rPr>
          <w:rFonts w:cs="Arial"/>
          <w:szCs w:val="20"/>
          <w:lang w:val="en-NZ"/>
        </w:rPr>
        <w:t xml:space="preserve"> will advise Study Link of withdrawals from a TEC funded programme within 5 working days of the withdrawal date. </w:t>
      </w:r>
    </w:p>
    <w:p w14:paraId="0181A709" w14:textId="220E6CF6" w:rsidR="001D2DEA" w:rsidRPr="00032FAF" w:rsidRDefault="001D2DEA" w:rsidP="001D2DEA">
      <w:pPr>
        <w:pStyle w:val="Heading2No"/>
        <w:rPr>
          <w:rFonts w:cs="Arial"/>
          <w:szCs w:val="20"/>
          <w:lang w:val="en-NZ"/>
        </w:rPr>
      </w:pPr>
      <w:r w:rsidRPr="00032FAF">
        <w:rPr>
          <w:rFonts w:cs="Arial"/>
          <w:szCs w:val="20"/>
          <w:lang w:val="en-NZ"/>
        </w:rPr>
        <w:t xml:space="preserve">Withdrawal by </w:t>
      </w:r>
      <w:r w:rsidR="00893B2F">
        <w:rPr>
          <w:rFonts w:cs="Arial"/>
          <w:szCs w:val="20"/>
          <w:lang w:val="en-NZ"/>
        </w:rPr>
        <w:t>ATNZ</w:t>
      </w:r>
    </w:p>
    <w:p w14:paraId="65F1A888" w14:textId="658F5B59" w:rsidR="00242026" w:rsidRPr="0003653F" w:rsidRDefault="00893B2F" w:rsidP="00242026">
      <w:pPr>
        <w:pStyle w:val="BlockNumber"/>
        <w:ind w:left="1587" w:hanging="873"/>
        <w:rPr>
          <w:rFonts w:cs="Arial"/>
          <w:szCs w:val="20"/>
          <w:lang w:val="en-NZ"/>
        </w:rPr>
      </w:pPr>
      <w:r>
        <w:rPr>
          <w:rFonts w:cs="Arial"/>
          <w:szCs w:val="20"/>
        </w:rPr>
        <w:t>ATNZ</w:t>
      </w:r>
      <w:r w:rsidR="001B0ACE" w:rsidRPr="0003653F">
        <w:rPr>
          <w:rFonts w:cs="Arial"/>
          <w:szCs w:val="20"/>
        </w:rPr>
        <w:t xml:space="preserve"> may</w:t>
      </w:r>
      <w:r w:rsidR="002C6F80" w:rsidRPr="0003653F">
        <w:rPr>
          <w:rFonts w:cs="Arial"/>
          <w:szCs w:val="20"/>
        </w:rPr>
        <w:t xml:space="preserve"> </w:t>
      </w:r>
      <w:r w:rsidR="001B0ACE" w:rsidRPr="0003653F">
        <w:rPr>
          <w:rFonts w:cs="Arial"/>
          <w:szCs w:val="20"/>
        </w:rPr>
        <w:t>withdraw</w:t>
      </w:r>
      <w:r w:rsidR="002C6F80" w:rsidRPr="0003653F">
        <w:rPr>
          <w:rFonts w:cs="Arial"/>
          <w:szCs w:val="20"/>
        </w:rPr>
        <w:t xml:space="preserve"> </w:t>
      </w:r>
      <w:r>
        <w:rPr>
          <w:rFonts w:cs="Arial"/>
          <w:szCs w:val="20"/>
        </w:rPr>
        <w:t>learner</w:t>
      </w:r>
      <w:r w:rsidR="001D2DEA" w:rsidRPr="0003653F">
        <w:rPr>
          <w:rFonts w:cs="Arial"/>
          <w:szCs w:val="20"/>
        </w:rPr>
        <w:t>s</w:t>
      </w:r>
      <w:r w:rsidR="00154416" w:rsidRPr="0003653F">
        <w:rPr>
          <w:rFonts w:cs="Arial"/>
          <w:szCs w:val="20"/>
        </w:rPr>
        <w:t xml:space="preserve"> from a </w:t>
      </w:r>
      <w:r w:rsidR="00393694">
        <w:rPr>
          <w:rFonts w:cs="Arial"/>
          <w:szCs w:val="20"/>
        </w:rPr>
        <w:t>program</w:t>
      </w:r>
      <w:r w:rsidR="00F907EB">
        <w:rPr>
          <w:rFonts w:cs="Arial"/>
          <w:szCs w:val="20"/>
        </w:rPr>
        <w:t>m</w:t>
      </w:r>
      <w:r w:rsidR="00393694">
        <w:rPr>
          <w:rFonts w:cs="Arial"/>
          <w:szCs w:val="20"/>
        </w:rPr>
        <w:t xml:space="preserve">e </w:t>
      </w:r>
      <w:r w:rsidR="00E975E8">
        <w:rPr>
          <w:rFonts w:cs="Arial"/>
          <w:szCs w:val="20"/>
        </w:rPr>
        <w:t xml:space="preserve">or </w:t>
      </w:r>
      <w:r w:rsidR="001D2DEA" w:rsidRPr="0003653F">
        <w:rPr>
          <w:rFonts w:cs="Arial"/>
          <w:szCs w:val="20"/>
        </w:rPr>
        <w:t>course</w:t>
      </w:r>
      <w:r w:rsidR="00242026" w:rsidRPr="0003653F">
        <w:rPr>
          <w:rFonts w:cs="Arial"/>
          <w:szCs w:val="20"/>
        </w:rPr>
        <w:t xml:space="preserve"> w</w:t>
      </w:r>
      <w:r w:rsidR="00833CBB" w:rsidRPr="0003653F">
        <w:rPr>
          <w:rFonts w:cs="Arial"/>
          <w:szCs w:val="20"/>
          <w:lang w:val="en-NZ"/>
        </w:rPr>
        <w:t>here they a</w:t>
      </w:r>
      <w:r w:rsidR="00B85F0F" w:rsidRPr="0003653F">
        <w:rPr>
          <w:rFonts w:cs="Arial"/>
          <w:szCs w:val="20"/>
          <w:lang w:val="en-NZ"/>
        </w:rPr>
        <w:t xml:space="preserve">re enrolled </w:t>
      </w:r>
      <w:r w:rsidR="001D2DEA" w:rsidRPr="0003653F">
        <w:rPr>
          <w:rFonts w:cs="Arial"/>
          <w:szCs w:val="20"/>
          <w:lang w:val="en-NZ"/>
        </w:rPr>
        <w:t xml:space="preserve">but have not </w:t>
      </w:r>
      <w:r w:rsidR="00393694">
        <w:rPr>
          <w:rFonts w:cs="Arial"/>
          <w:szCs w:val="20"/>
          <w:lang w:val="en-NZ"/>
        </w:rPr>
        <w:t xml:space="preserve">engaged in learning </w:t>
      </w:r>
      <w:r w:rsidR="001B0ACE" w:rsidRPr="0003653F">
        <w:rPr>
          <w:rFonts w:cs="Arial"/>
          <w:szCs w:val="20"/>
          <w:lang w:val="en-NZ"/>
        </w:rPr>
        <w:t>in the first three weeks</w:t>
      </w:r>
      <w:r w:rsidR="00242026" w:rsidRPr="0003653F">
        <w:rPr>
          <w:rFonts w:cs="Arial"/>
          <w:szCs w:val="20"/>
          <w:lang w:val="en-NZ"/>
        </w:rPr>
        <w:t xml:space="preserve">.  All reasonable efforts will be made to contact </w:t>
      </w:r>
      <w:r>
        <w:rPr>
          <w:rFonts w:cs="Arial"/>
          <w:szCs w:val="20"/>
          <w:lang w:val="en-NZ"/>
        </w:rPr>
        <w:t>learner</w:t>
      </w:r>
      <w:r w:rsidR="00242026" w:rsidRPr="0003653F">
        <w:rPr>
          <w:rFonts w:cs="Arial"/>
          <w:szCs w:val="20"/>
          <w:lang w:val="en-NZ"/>
        </w:rPr>
        <w:t xml:space="preserve">s to determine whether they wish to be withdrawn.  If a </w:t>
      </w:r>
      <w:r>
        <w:rPr>
          <w:rFonts w:cs="Arial"/>
          <w:szCs w:val="20"/>
          <w:lang w:val="en-NZ"/>
        </w:rPr>
        <w:t>learner</w:t>
      </w:r>
      <w:r w:rsidR="00242026" w:rsidRPr="0003653F">
        <w:rPr>
          <w:rFonts w:cs="Arial"/>
          <w:szCs w:val="20"/>
          <w:lang w:val="en-NZ"/>
        </w:rPr>
        <w:t xml:space="preserve"> does not respond to these efforts, they may be deemed to have withdrawn.</w:t>
      </w:r>
      <w:r w:rsidR="00DB7C37">
        <w:rPr>
          <w:rFonts w:cs="Arial"/>
          <w:szCs w:val="20"/>
          <w:lang w:val="en-NZ"/>
        </w:rPr>
        <w:t xml:space="preserve"> The decision to withdraw the </w:t>
      </w:r>
      <w:r>
        <w:rPr>
          <w:rFonts w:cs="Arial"/>
          <w:szCs w:val="20"/>
          <w:lang w:val="en-NZ"/>
        </w:rPr>
        <w:t>learner</w:t>
      </w:r>
      <w:r w:rsidR="00DB7C37">
        <w:rPr>
          <w:rFonts w:cs="Arial"/>
          <w:szCs w:val="20"/>
          <w:lang w:val="en-NZ"/>
        </w:rPr>
        <w:t xml:space="preserve"> under this Regulation will be made by the </w:t>
      </w:r>
      <w:r w:rsidR="00393694">
        <w:rPr>
          <w:rFonts w:cs="Arial"/>
          <w:szCs w:val="20"/>
          <w:lang w:val="en-NZ"/>
        </w:rPr>
        <w:t>PTE Manager</w:t>
      </w:r>
      <w:r w:rsidR="00DB7C37">
        <w:rPr>
          <w:rFonts w:cs="Arial"/>
          <w:szCs w:val="20"/>
          <w:lang w:val="en-NZ"/>
        </w:rPr>
        <w:t>.</w:t>
      </w:r>
    </w:p>
    <w:p w14:paraId="02DB6651" w14:textId="73E3BDB4" w:rsidR="00833CBB" w:rsidRPr="0003653F" w:rsidRDefault="00833CBB" w:rsidP="00242026">
      <w:pPr>
        <w:pStyle w:val="BlockNumber"/>
        <w:ind w:left="1587" w:hanging="873"/>
        <w:rPr>
          <w:rFonts w:cs="Arial"/>
          <w:szCs w:val="20"/>
          <w:lang w:val="en-NZ"/>
        </w:rPr>
      </w:pPr>
      <w:r w:rsidRPr="0003653F">
        <w:rPr>
          <w:rFonts w:cs="Arial"/>
          <w:szCs w:val="20"/>
          <w:lang w:val="en-NZ"/>
        </w:rPr>
        <w:t xml:space="preserve">In exceptional circumstances, </w:t>
      </w:r>
      <w:r w:rsidR="00893B2F">
        <w:rPr>
          <w:rFonts w:cs="Arial"/>
          <w:szCs w:val="20"/>
          <w:lang w:val="en-NZ"/>
        </w:rPr>
        <w:t>learner</w:t>
      </w:r>
      <w:r w:rsidR="00242026" w:rsidRPr="0003653F">
        <w:rPr>
          <w:rFonts w:cs="Arial"/>
          <w:szCs w:val="20"/>
          <w:lang w:val="en-NZ"/>
        </w:rPr>
        <w:t xml:space="preserve">s may be withdrawn from a </w:t>
      </w:r>
      <w:r w:rsidR="00553762">
        <w:rPr>
          <w:rFonts w:cs="Arial"/>
          <w:szCs w:val="20"/>
          <w:lang w:val="en-NZ"/>
        </w:rPr>
        <w:t>programme</w:t>
      </w:r>
      <w:r w:rsidR="00553762" w:rsidRPr="0003653F">
        <w:rPr>
          <w:rFonts w:cs="Arial"/>
          <w:szCs w:val="20"/>
          <w:lang w:val="en-NZ"/>
        </w:rPr>
        <w:t xml:space="preserve"> </w:t>
      </w:r>
      <w:r w:rsidR="00553762">
        <w:rPr>
          <w:rFonts w:cs="Arial"/>
          <w:szCs w:val="20"/>
          <w:lang w:val="en-NZ"/>
        </w:rPr>
        <w:t xml:space="preserve">or </w:t>
      </w:r>
      <w:r w:rsidR="00242026" w:rsidRPr="0003653F">
        <w:rPr>
          <w:rFonts w:cs="Arial"/>
          <w:szCs w:val="20"/>
          <w:lang w:val="en-NZ"/>
        </w:rPr>
        <w:t xml:space="preserve">course </w:t>
      </w:r>
      <w:r w:rsidRPr="0003653F">
        <w:rPr>
          <w:rFonts w:cs="Arial"/>
          <w:szCs w:val="20"/>
          <w:lang w:val="en-NZ"/>
        </w:rPr>
        <w:t xml:space="preserve">at the discretion of the </w:t>
      </w:r>
      <w:r w:rsidR="006F08CE" w:rsidRPr="0003653F">
        <w:rPr>
          <w:rFonts w:cs="Arial"/>
          <w:szCs w:val="20"/>
          <w:lang w:val="en-NZ"/>
        </w:rPr>
        <w:t>Chief Executive</w:t>
      </w:r>
    </w:p>
    <w:p w14:paraId="35F0E880" w14:textId="1ACDB21B" w:rsidR="006B5B47" w:rsidRPr="00032FAF" w:rsidRDefault="00893B2F" w:rsidP="00766BF9">
      <w:pPr>
        <w:pStyle w:val="Heading2No"/>
        <w:rPr>
          <w:rFonts w:cs="Arial"/>
          <w:szCs w:val="20"/>
          <w:lang w:val="en-NZ"/>
        </w:rPr>
      </w:pPr>
      <w:r>
        <w:rPr>
          <w:rFonts w:cs="Arial"/>
          <w:szCs w:val="20"/>
          <w:lang w:val="en-NZ"/>
        </w:rPr>
        <w:t>ATNZ</w:t>
      </w:r>
      <w:r w:rsidR="006B5B47" w:rsidRPr="00032FAF">
        <w:rPr>
          <w:rFonts w:cs="Arial"/>
          <w:szCs w:val="20"/>
          <w:lang w:val="en-NZ"/>
        </w:rPr>
        <w:t>’s withdrawal period</w:t>
      </w:r>
    </w:p>
    <w:p w14:paraId="76143D62" w14:textId="54D1B046" w:rsidR="006A493C" w:rsidRPr="0003653F" w:rsidRDefault="00F9679A" w:rsidP="006A493C">
      <w:pPr>
        <w:pStyle w:val="BlockNumber"/>
        <w:ind w:left="1587" w:hanging="873"/>
        <w:rPr>
          <w:rFonts w:cs="Arial"/>
          <w:szCs w:val="20"/>
          <w:lang w:val="en-NZ"/>
        </w:rPr>
      </w:pPr>
      <w:r w:rsidRPr="0003653F">
        <w:rPr>
          <w:rFonts w:cs="Arial"/>
          <w:szCs w:val="20"/>
          <w:lang w:val="en-NZ"/>
        </w:rPr>
        <w:t xml:space="preserve">The withdrawal period is the period during which </w:t>
      </w:r>
      <w:r w:rsidR="00893B2F">
        <w:rPr>
          <w:rFonts w:cs="Arial"/>
          <w:szCs w:val="20"/>
          <w:lang w:val="en-NZ"/>
        </w:rPr>
        <w:t>learner</w:t>
      </w:r>
      <w:r w:rsidR="002F764A" w:rsidRPr="0003653F">
        <w:rPr>
          <w:rFonts w:cs="Arial"/>
          <w:szCs w:val="20"/>
          <w:lang w:val="en-NZ"/>
        </w:rPr>
        <w:t>s</w:t>
      </w:r>
      <w:r w:rsidRPr="0003653F">
        <w:rPr>
          <w:rFonts w:cs="Arial"/>
          <w:szCs w:val="20"/>
          <w:lang w:val="en-NZ"/>
        </w:rPr>
        <w:t xml:space="preserve"> may withdraw </w:t>
      </w:r>
      <w:r w:rsidR="007A03C4" w:rsidRPr="0003653F">
        <w:rPr>
          <w:rFonts w:cs="Arial"/>
          <w:szCs w:val="20"/>
          <w:lang w:val="en-NZ"/>
        </w:rPr>
        <w:t>from a</w:t>
      </w:r>
      <w:r w:rsidR="007C4AF7">
        <w:rPr>
          <w:rFonts w:cs="Arial"/>
          <w:szCs w:val="20"/>
          <w:lang w:val="en-NZ"/>
        </w:rPr>
        <w:t xml:space="preserve"> programme</w:t>
      </w:r>
      <w:r w:rsidR="00FF52AE">
        <w:rPr>
          <w:rFonts w:cs="Arial"/>
          <w:szCs w:val="20"/>
          <w:lang w:val="en-NZ"/>
        </w:rPr>
        <w:t xml:space="preserve">, </w:t>
      </w:r>
      <w:proofErr w:type="spellStart"/>
      <w:r w:rsidR="00FF52AE">
        <w:rPr>
          <w:rFonts w:cs="Arial"/>
          <w:szCs w:val="20"/>
          <w:lang w:val="en-NZ"/>
        </w:rPr>
        <w:t>microcredential</w:t>
      </w:r>
      <w:proofErr w:type="spellEnd"/>
      <w:r w:rsidR="007C4AF7">
        <w:rPr>
          <w:rFonts w:cs="Arial"/>
          <w:szCs w:val="20"/>
          <w:lang w:val="en-NZ"/>
        </w:rPr>
        <w:t xml:space="preserve"> or </w:t>
      </w:r>
      <w:r w:rsidR="007A03C4" w:rsidRPr="0003653F">
        <w:rPr>
          <w:rFonts w:cs="Arial"/>
          <w:szCs w:val="20"/>
          <w:lang w:val="en-NZ"/>
        </w:rPr>
        <w:t xml:space="preserve">course </w:t>
      </w:r>
      <w:r w:rsidRPr="0003653F">
        <w:rPr>
          <w:rFonts w:cs="Arial"/>
          <w:szCs w:val="20"/>
          <w:lang w:val="en-NZ"/>
        </w:rPr>
        <w:t>without incurring an academic</w:t>
      </w:r>
      <w:r w:rsidR="001D7849" w:rsidRPr="0003653F">
        <w:rPr>
          <w:rFonts w:cs="Arial"/>
          <w:szCs w:val="20"/>
          <w:lang w:val="en-NZ"/>
        </w:rPr>
        <w:t xml:space="preserve"> </w:t>
      </w:r>
      <w:r w:rsidRPr="0003653F">
        <w:rPr>
          <w:rFonts w:cs="Arial"/>
          <w:szCs w:val="20"/>
          <w:lang w:val="en-NZ"/>
        </w:rPr>
        <w:t>penalty</w:t>
      </w:r>
      <w:r w:rsidR="00345CBC" w:rsidRPr="0003653F">
        <w:rPr>
          <w:rFonts w:cs="Arial"/>
          <w:szCs w:val="20"/>
          <w:lang w:val="en-NZ"/>
        </w:rPr>
        <w:t xml:space="preserve"> on their academic record</w:t>
      </w:r>
      <w:r w:rsidR="00AA1D9D" w:rsidRPr="0003653F">
        <w:rPr>
          <w:rFonts w:cs="Arial"/>
          <w:szCs w:val="20"/>
          <w:lang w:val="en-NZ"/>
        </w:rPr>
        <w:t xml:space="preserve"> (see section</w:t>
      </w:r>
      <w:r w:rsidR="00AA3458" w:rsidRPr="0003653F">
        <w:rPr>
          <w:rFonts w:cs="Arial"/>
          <w:szCs w:val="20"/>
          <w:lang w:val="en-NZ"/>
        </w:rPr>
        <w:t xml:space="preserve"> </w:t>
      </w:r>
      <w:r w:rsidR="00CF782A">
        <w:rPr>
          <w:rFonts w:cs="Arial"/>
          <w:szCs w:val="20"/>
          <w:lang w:val="en-NZ"/>
        </w:rPr>
        <w:t>6</w:t>
      </w:r>
      <w:r w:rsidR="00AA3458" w:rsidRPr="0003653F">
        <w:rPr>
          <w:rFonts w:cs="Arial"/>
          <w:szCs w:val="20"/>
          <w:lang w:val="en-NZ"/>
        </w:rPr>
        <w:t>.</w:t>
      </w:r>
      <w:r w:rsidR="00154416" w:rsidRPr="0003653F">
        <w:rPr>
          <w:rFonts w:cs="Arial"/>
          <w:szCs w:val="20"/>
          <w:lang w:val="en-NZ"/>
        </w:rPr>
        <w:t>4</w:t>
      </w:r>
      <w:r w:rsidR="00AA1D9D" w:rsidRPr="0003653F">
        <w:rPr>
          <w:rFonts w:cs="Arial"/>
          <w:szCs w:val="20"/>
          <w:lang w:val="en-NZ"/>
        </w:rPr>
        <w:t xml:space="preserve">: </w:t>
      </w:r>
      <w:r w:rsidR="00AA3458" w:rsidRPr="0003653F">
        <w:rPr>
          <w:rFonts w:cs="Arial"/>
          <w:szCs w:val="20"/>
          <w:lang w:val="en-NZ"/>
        </w:rPr>
        <w:t xml:space="preserve">Consequences of </w:t>
      </w:r>
      <w:r w:rsidR="00CF782A">
        <w:rPr>
          <w:rFonts w:cs="Arial"/>
          <w:szCs w:val="20"/>
          <w:lang w:val="en-NZ"/>
        </w:rPr>
        <w:t>W</w:t>
      </w:r>
      <w:r w:rsidR="00AA3458" w:rsidRPr="0003653F">
        <w:rPr>
          <w:rFonts w:cs="Arial"/>
          <w:szCs w:val="20"/>
          <w:lang w:val="en-NZ"/>
        </w:rPr>
        <w:t>ithdrawal</w:t>
      </w:r>
      <w:r w:rsidR="00AA1D9D" w:rsidRPr="0003653F">
        <w:rPr>
          <w:rFonts w:cs="Arial"/>
          <w:szCs w:val="20"/>
          <w:lang w:val="en-NZ"/>
        </w:rPr>
        <w:t>)</w:t>
      </w:r>
      <w:r w:rsidRPr="0003653F">
        <w:rPr>
          <w:rFonts w:cs="Arial"/>
          <w:szCs w:val="20"/>
          <w:lang w:val="en-NZ"/>
        </w:rPr>
        <w:t>.</w:t>
      </w:r>
      <w:r w:rsidR="006A493C" w:rsidRPr="0003653F">
        <w:rPr>
          <w:rFonts w:cs="Arial"/>
          <w:szCs w:val="20"/>
          <w:lang w:val="en-NZ"/>
        </w:rPr>
        <w:t xml:space="preserve"> </w:t>
      </w:r>
    </w:p>
    <w:p w14:paraId="0183C301" w14:textId="46635FAB" w:rsidR="006B5B47" w:rsidRPr="0003653F" w:rsidRDefault="00893B2F" w:rsidP="006A493C">
      <w:pPr>
        <w:pStyle w:val="BlockNumber"/>
        <w:ind w:left="1587" w:hanging="873"/>
        <w:rPr>
          <w:rFonts w:cs="Arial"/>
          <w:szCs w:val="20"/>
          <w:lang w:val="en-NZ"/>
        </w:rPr>
      </w:pPr>
      <w:r>
        <w:rPr>
          <w:rFonts w:cs="Arial"/>
          <w:szCs w:val="20"/>
          <w:lang w:val="en-NZ"/>
        </w:rPr>
        <w:t>ATNZ</w:t>
      </w:r>
      <w:r w:rsidR="00AA1D9D" w:rsidRPr="0003653F">
        <w:rPr>
          <w:rFonts w:cs="Arial"/>
          <w:szCs w:val="20"/>
          <w:lang w:val="en-NZ"/>
        </w:rPr>
        <w:t xml:space="preserve">’s withdrawal period is </w:t>
      </w:r>
      <w:r w:rsidR="00A65526">
        <w:rPr>
          <w:rFonts w:cs="Arial"/>
          <w:szCs w:val="20"/>
          <w:lang w:val="en-NZ"/>
        </w:rPr>
        <w:t xml:space="preserve">aligned to the </w:t>
      </w:r>
      <w:r w:rsidR="000E1D95">
        <w:rPr>
          <w:rFonts w:cs="Arial"/>
          <w:szCs w:val="20"/>
          <w:lang w:val="en-NZ"/>
        </w:rPr>
        <w:t xml:space="preserve">last full refund date </w:t>
      </w:r>
      <w:r w:rsidR="00157E10">
        <w:rPr>
          <w:rFonts w:cs="Arial"/>
          <w:szCs w:val="20"/>
          <w:lang w:val="en-NZ"/>
        </w:rPr>
        <w:t xml:space="preserve">specified in </w:t>
      </w:r>
      <w:r w:rsidR="00706C6A">
        <w:rPr>
          <w:rFonts w:cs="Arial"/>
          <w:szCs w:val="20"/>
          <w:lang w:val="en-NZ"/>
        </w:rPr>
        <w:t>s</w:t>
      </w:r>
      <w:r w:rsidR="00157E10">
        <w:rPr>
          <w:rFonts w:cs="Arial"/>
          <w:szCs w:val="20"/>
          <w:lang w:val="en-NZ"/>
        </w:rPr>
        <w:t xml:space="preserve">ection </w:t>
      </w:r>
      <w:r w:rsidR="00CF782A">
        <w:rPr>
          <w:rFonts w:cs="Arial"/>
          <w:szCs w:val="20"/>
          <w:lang w:val="en-NZ"/>
        </w:rPr>
        <w:t>8</w:t>
      </w:r>
      <w:r w:rsidR="00157E10">
        <w:rPr>
          <w:rFonts w:cs="Arial"/>
          <w:szCs w:val="20"/>
          <w:lang w:val="en-NZ"/>
        </w:rPr>
        <w:t>.2</w:t>
      </w:r>
      <w:r w:rsidR="004B0C10">
        <w:rPr>
          <w:rFonts w:cs="Arial"/>
          <w:szCs w:val="20"/>
          <w:lang w:val="en-NZ"/>
        </w:rPr>
        <w:t xml:space="preserve"> </w:t>
      </w:r>
      <w:r w:rsidR="00CE67F0">
        <w:rPr>
          <w:rFonts w:cs="Arial"/>
          <w:szCs w:val="20"/>
          <w:lang w:val="en-NZ"/>
        </w:rPr>
        <w:t>of these Regulations</w:t>
      </w:r>
      <w:r w:rsidR="00AA1D9D" w:rsidRPr="0003653F">
        <w:rPr>
          <w:rFonts w:cs="Arial"/>
          <w:szCs w:val="20"/>
          <w:lang w:val="en-NZ"/>
        </w:rPr>
        <w:t xml:space="preserve">.  </w:t>
      </w:r>
      <w:r w:rsidR="006B5B47" w:rsidRPr="0003653F">
        <w:rPr>
          <w:rFonts w:cs="Arial"/>
          <w:szCs w:val="20"/>
          <w:lang w:val="en-NZ"/>
        </w:rPr>
        <w:t>The withdrawal period start</w:t>
      </w:r>
      <w:r w:rsidR="001678CC" w:rsidRPr="0003653F">
        <w:rPr>
          <w:rFonts w:cs="Arial"/>
          <w:szCs w:val="20"/>
          <w:lang w:val="en-NZ"/>
        </w:rPr>
        <w:t>s</w:t>
      </w:r>
      <w:r w:rsidR="006B5B47" w:rsidRPr="0003653F">
        <w:rPr>
          <w:rFonts w:cs="Arial"/>
          <w:szCs w:val="20"/>
          <w:lang w:val="en-NZ"/>
        </w:rPr>
        <w:t xml:space="preserve"> from </w:t>
      </w:r>
      <w:r w:rsidR="00345CBC" w:rsidRPr="0003653F">
        <w:rPr>
          <w:rFonts w:cs="Arial"/>
          <w:szCs w:val="20"/>
          <w:lang w:val="en-NZ"/>
        </w:rPr>
        <w:t xml:space="preserve">the </w:t>
      </w:r>
      <w:r w:rsidR="006B5B47" w:rsidRPr="0003653F">
        <w:rPr>
          <w:rFonts w:cs="Arial"/>
          <w:szCs w:val="20"/>
          <w:lang w:val="en-NZ"/>
        </w:rPr>
        <w:t>course start date</w:t>
      </w:r>
      <w:r w:rsidR="004B0C10">
        <w:rPr>
          <w:rFonts w:cs="Arial"/>
          <w:szCs w:val="20"/>
          <w:lang w:val="en-NZ"/>
        </w:rPr>
        <w:t xml:space="preserve"> and </w:t>
      </w:r>
      <w:r w:rsidR="006B5B47" w:rsidRPr="0003653F">
        <w:rPr>
          <w:rFonts w:cs="Arial"/>
          <w:b/>
          <w:szCs w:val="20"/>
          <w:lang w:val="en-NZ"/>
        </w:rPr>
        <w:t>not</w:t>
      </w:r>
      <w:r w:rsidR="001678CC" w:rsidRPr="0003653F">
        <w:rPr>
          <w:rFonts w:cs="Arial"/>
          <w:szCs w:val="20"/>
          <w:lang w:val="en-NZ"/>
        </w:rPr>
        <w:t xml:space="preserve"> the</w:t>
      </w:r>
      <w:r w:rsidR="006B5B47" w:rsidRPr="0003653F">
        <w:rPr>
          <w:rFonts w:cs="Arial"/>
          <w:szCs w:val="20"/>
          <w:lang w:val="en-NZ"/>
        </w:rPr>
        <w:t xml:space="preserve"> </w:t>
      </w:r>
      <w:r w:rsidR="00F77C5E" w:rsidRPr="0003653F">
        <w:rPr>
          <w:rFonts w:cs="Arial"/>
          <w:szCs w:val="20"/>
          <w:lang w:val="en-NZ"/>
        </w:rPr>
        <w:t xml:space="preserve">date on which the </w:t>
      </w:r>
      <w:r>
        <w:rPr>
          <w:rFonts w:cs="Arial"/>
          <w:szCs w:val="20"/>
          <w:lang w:val="en-NZ"/>
        </w:rPr>
        <w:t>learner</w:t>
      </w:r>
      <w:r w:rsidR="00F77C5E" w:rsidRPr="0003653F">
        <w:rPr>
          <w:rFonts w:cs="Arial"/>
          <w:szCs w:val="20"/>
          <w:lang w:val="en-NZ"/>
        </w:rPr>
        <w:t xml:space="preserve"> started the course</w:t>
      </w:r>
      <w:r w:rsidR="00242026" w:rsidRPr="0003653F">
        <w:rPr>
          <w:rFonts w:cs="Arial"/>
          <w:szCs w:val="20"/>
          <w:lang w:val="en-NZ"/>
        </w:rPr>
        <w:t xml:space="preserve"> (where they started after the earliest course start date)</w:t>
      </w:r>
      <w:r w:rsidR="00F77C5E" w:rsidRPr="0003653F">
        <w:rPr>
          <w:rFonts w:cs="Arial"/>
          <w:szCs w:val="20"/>
          <w:lang w:val="en-NZ"/>
        </w:rPr>
        <w:t>.</w:t>
      </w:r>
    </w:p>
    <w:p w14:paraId="36DCAE24" w14:textId="0E0BF6A2" w:rsidR="00BE4D36" w:rsidRPr="0003653F" w:rsidRDefault="001937B2" w:rsidP="00BE4D36">
      <w:pPr>
        <w:pStyle w:val="BlockNumber"/>
        <w:ind w:left="1587" w:hanging="873"/>
        <w:rPr>
          <w:rFonts w:cs="Arial"/>
          <w:szCs w:val="20"/>
          <w:lang w:val="en-NZ"/>
        </w:rPr>
      </w:pPr>
      <w:r w:rsidRPr="0003653F">
        <w:rPr>
          <w:rFonts w:cs="Arial"/>
          <w:szCs w:val="20"/>
          <w:lang w:val="en-NZ"/>
        </w:rPr>
        <w:t xml:space="preserve">Where </w:t>
      </w:r>
      <w:r w:rsidR="00893B2F">
        <w:rPr>
          <w:rFonts w:cs="Arial"/>
          <w:szCs w:val="20"/>
          <w:lang w:val="en-NZ"/>
        </w:rPr>
        <w:t>learner</w:t>
      </w:r>
      <w:r w:rsidR="00BE4D36" w:rsidRPr="0003653F">
        <w:rPr>
          <w:rFonts w:cs="Arial"/>
          <w:szCs w:val="20"/>
          <w:lang w:val="en-NZ"/>
        </w:rPr>
        <w:t xml:space="preserve">s </w:t>
      </w:r>
      <w:r w:rsidRPr="0003653F">
        <w:rPr>
          <w:rFonts w:cs="Arial"/>
          <w:szCs w:val="20"/>
          <w:lang w:val="en-NZ"/>
        </w:rPr>
        <w:t>change</w:t>
      </w:r>
      <w:r w:rsidR="00BE4D36" w:rsidRPr="0003653F">
        <w:rPr>
          <w:rFonts w:cs="Arial"/>
          <w:szCs w:val="20"/>
          <w:lang w:val="en-NZ"/>
        </w:rPr>
        <w:t xml:space="preserve"> courses more than once </w:t>
      </w:r>
      <w:r w:rsidR="005753A6" w:rsidRPr="0003653F">
        <w:rPr>
          <w:rFonts w:cs="Arial"/>
          <w:szCs w:val="20"/>
          <w:lang w:val="en-NZ"/>
        </w:rPr>
        <w:t xml:space="preserve">during </w:t>
      </w:r>
      <w:r w:rsidR="00BE4D36" w:rsidRPr="0003653F">
        <w:rPr>
          <w:rFonts w:cs="Arial"/>
          <w:szCs w:val="20"/>
          <w:lang w:val="en-NZ"/>
        </w:rPr>
        <w:t xml:space="preserve">a year, the withdrawal/transfer dates shall apply from the start date of the course in which they </w:t>
      </w:r>
      <w:r w:rsidR="00267868" w:rsidRPr="0003653F">
        <w:rPr>
          <w:rFonts w:cs="Arial"/>
          <w:szCs w:val="20"/>
          <w:lang w:val="en-NZ"/>
        </w:rPr>
        <w:t xml:space="preserve">initially </w:t>
      </w:r>
      <w:r w:rsidR="007A03C4" w:rsidRPr="0003653F">
        <w:rPr>
          <w:rFonts w:cs="Arial"/>
          <w:szCs w:val="20"/>
          <w:lang w:val="en-NZ"/>
        </w:rPr>
        <w:t xml:space="preserve">enrolled. </w:t>
      </w:r>
    </w:p>
    <w:p w14:paraId="4B117E6F" w14:textId="5123B679" w:rsidR="006241D2" w:rsidRPr="0003653F" w:rsidRDefault="006B5B47" w:rsidP="00242C03">
      <w:pPr>
        <w:pStyle w:val="BlockNumber"/>
        <w:ind w:left="1587" w:hanging="873"/>
        <w:rPr>
          <w:rFonts w:cs="Arial"/>
          <w:szCs w:val="20"/>
        </w:rPr>
      </w:pPr>
      <w:r w:rsidRPr="0003653F">
        <w:rPr>
          <w:rFonts w:cs="Arial"/>
          <w:szCs w:val="20"/>
          <w:lang w:val="en-NZ"/>
        </w:rPr>
        <w:t>The date of withdrawal shall be the date that the co</w:t>
      </w:r>
      <w:r w:rsidR="00E27651">
        <w:rPr>
          <w:rFonts w:cs="Arial"/>
          <w:szCs w:val="20"/>
          <w:lang w:val="en-NZ"/>
        </w:rPr>
        <w:t xml:space="preserve">mpleted </w:t>
      </w:r>
      <w:r w:rsidRPr="0003653F">
        <w:rPr>
          <w:rFonts w:cs="Arial"/>
          <w:i/>
          <w:szCs w:val="20"/>
          <w:lang w:val="en-NZ"/>
        </w:rPr>
        <w:t xml:space="preserve">Withdrawal </w:t>
      </w:r>
      <w:r w:rsidRPr="0003653F">
        <w:rPr>
          <w:rFonts w:cs="Arial"/>
          <w:szCs w:val="20"/>
          <w:lang w:val="en-NZ"/>
        </w:rPr>
        <w:t xml:space="preserve">form is </w:t>
      </w:r>
      <w:r w:rsidR="004B0C10">
        <w:rPr>
          <w:rFonts w:cs="Arial"/>
          <w:szCs w:val="20"/>
          <w:lang w:val="en-NZ"/>
        </w:rPr>
        <w:t>emailed to ATNZ</w:t>
      </w:r>
      <w:r w:rsidR="00E27651">
        <w:rPr>
          <w:rFonts w:cs="Arial"/>
          <w:szCs w:val="20"/>
          <w:lang w:val="en-NZ"/>
        </w:rPr>
        <w:t>.</w:t>
      </w:r>
    </w:p>
    <w:p w14:paraId="792C4814" w14:textId="77777777" w:rsidR="00805197" w:rsidRPr="00032FAF" w:rsidRDefault="00BC69A8" w:rsidP="00766BF9">
      <w:pPr>
        <w:pStyle w:val="Heading2No"/>
        <w:rPr>
          <w:rFonts w:cs="Arial"/>
          <w:szCs w:val="20"/>
          <w:lang w:val="en-NZ"/>
        </w:rPr>
      </w:pPr>
      <w:r w:rsidRPr="00032FAF">
        <w:rPr>
          <w:rFonts w:cs="Arial"/>
          <w:szCs w:val="20"/>
          <w:lang w:val="en-NZ"/>
        </w:rPr>
        <w:t>Consequences of withdrawal</w:t>
      </w:r>
    </w:p>
    <w:p w14:paraId="32D62CB7" w14:textId="1F73A40E" w:rsidR="00736967" w:rsidRPr="0003653F" w:rsidRDefault="00D72A1B" w:rsidP="00766BF9">
      <w:pPr>
        <w:pStyle w:val="BlockNumber"/>
        <w:ind w:left="1587" w:hanging="873"/>
        <w:rPr>
          <w:rFonts w:cs="Arial"/>
          <w:szCs w:val="20"/>
          <w:lang w:val="en-NZ"/>
        </w:rPr>
      </w:pPr>
      <w:r w:rsidRPr="0003653F">
        <w:rPr>
          <w:rFonts w:cs="Arial"/>
          <w:szCs w:val="20"/>
          <w:lang w:val="en-NZ"/>
        </w:rPr>
        <w:t xml:space="preserve">The following table details what will be recorded on the academic record of </w:t>
      </w:r>
      <w:r w:rsidR="00893B2F">
        <w:rPr>
          <w:rFonts w:cs="Arial"/>
          <w:szCs w:val="20"/>
          <w:lang w:val="en-NZ"/>
        </w:rPr>
        <w:t>learner</w:t>
      </w:r>
      <w:r w:rsidRPr="0003653F">
        <w:rPr>
          <w:rFonts w:cs="Arial"/>
          <w:szCs w:val="20"/>
          <w:lang w:val="en-NZ"/>
        </w:rPr>
        <w:t xml:space="preserve">s who withdraw, or are withdrawn, from </w:t>
      </w:r>
      <w:r w:rsidR="00B41A8A" w:rsidRPr="0003653F">
        <w:rPr>
          <w:rFonts w:cs="Arial"/>
          <w:szCs w:val="20"/>
          <w:lang w:val="en-NZ"/>
        </w:rPr>
        <w:t xml:space="preserve">a </w:t>
      </w:r>
      <w:r w:rsidRPr="0003653F">
        <w:rPr>
          <w:rFonts w:cs="Arial"/>
          <w:szCs w:val="20"/>
          <w:lang w:val="en-NZ"/>
        </w:rPr>
        <w:t xml:space="preserve">course: </w:t>
      </w:r>
    </w:p>
    <w:tbl>
      <w:tblPr>
        <w:tblStyle w:val="TableGrid"/>
        <w:tblW w:w="0" w:type="auto"/>
        <w:tblInd w:w="1668" w:type="dxa"/>
        <w:tblLook w:val="04A0" w:firstRow="1" w:lastRow="0" w:firstColumn="1" w:lastColumn="0" w:noHBand="0" w:noVBand="1"/>
      </w:tblPr>
      <w:tblGrid>
        <w:gridCol w:w="3402"/>
        <w:gridCol w:w="4394"/>
      </w:tblGrid>
      <w:tr w:rsidR="00805197" w:rsidRPr="0003653F" w14:paraId="203E1908" w14:textId="77777777" w:rsidTr="00805197">
        <w:trPr>
          <w:cantSplit/>
          <w:tblHeader/>
        </w:trPr>
        <w:tc>
          <w:tcPr>
            <w:tcW w:w="3402" w:type="dxa"/>
            <w:shd w:val="clear" w:color="auto" w:fill="D9D9D9" w:themeFill="background1" w:themeFillShade="D9"/>
          </w:tcPr>
          <w:p w14:paraId="5D7E2F49" w14:textId="77777777" w:rsidR="00805197" w:rsidRPr="0003653F" w:rsidRDefault="001937B2" w:rsidP="003329AB">
            <w:pPr>
              <w:pStyle w:val="TableHeading"/>
              <w:rPr>
                <w:rFonts w:eastAsia="Calibri" w:cs="Arial"/>
                <w:lang w:val="en-NZ"/>
              </w:rPr>
            </w:pPr>
            <w:r w:rsidRPr="0003653F">
              <w:rPr>
                <w:rFonts w:eastAsia="Calibri" w:cs="Arial"/>
                <w:lang w:val="en-NZ"/>
              </w:rPr>
              <w:t>Date of withdrawal</w:t>
            </w:r>
          </w:p>
        </w:tc>
        <w:tc>
          <w:tcPr>
            <w:tcW w:w="4394" w:type="dxa"/>
            <w:shd w:val="clear" w:color="auto" w:fill="D9D9D9" w:themeFill="background1" w:themeFillShade="D9"/>
          </w:tcPr>
          <w:p w14:paraId="4CE8F64F" w14:textId="77777777" w:rsidR="00805197" w:rsidRPr="0003653F" w:rsidRDefault="001937B2" w:rsidP="00D74B34">
            <w:pPr>
              <w:pStyle w:val="TableHeading"/>
              <w:rPr>
                <w:rFonts w:cs="Arial"/>
                <w:lang w:val="en-NZ"/>
              </w:rPr>
            </w:pPr>
            <w:r w:rsidRPr="0003653F">
              <w:rPr>
                <w:rFonts w:cs="Arial"/>
                <w:lang w:val="en-NZ"/>
              </w:rPr>
              <w:t xml:space="preserve">Academic </w:t>
            </w:r>
            <w:r w:rsidR="00D74B34" w:rsidRPr="0003653F">
              <w:rPr>
                <w:rFonts w:cs="Arial"/>
                <w:lang w:val="en-NZ"/>
              </w:rPr>
              <w:t>r</w:t>
            </w:r>
            <w:r w:rsidRPr="0003653F">
              <w:rPr>
                <w:rFonts w:cs="Arial"/>
                <w:lang w:val="en-NZ"/>
              </w:rPr>
              <w:t>ecord</w:t>
            </w:r>
          </w:p>
        </w:tc>
      </w:tr>
      <w:tr w:rsidR="00805197" w:rsidRPr="0003653F" w14:paraId="110D7B06" w14:textId="77777777" w:rsidTr="00873C9B">
        <w:tc>
          <w:tcPr>
            <w:tcW w:w="3402" w:type="dxa"/>
          </w:tcPr>
          <w:p w14:paraId="095303B4" w14:textId="77777777" w:rsidR="00805197" w:rsidRPr="0003653F" w:rsidRDefault="00BC69A8" w:rsidP="00873C9B">
            <w:pPr>
              <w:pStyle w:val="TableText"/>
              <w:rPr>
                <w:rFonts w:cs="Arial"/>
                <w:lang w:val="en-NZ"/>
              </w:rPr>
            </w:pPr>
            <w:r w:rsidRPr="0003653F">
              <w:rPr>
                <w:rFonts w:cs="Arial"/>
                <w:lang w:val="en-NZ"/>
              </w:rPr>
              <w:t>Before the last full refund date</w:t>
            </w:r>
            <w:r w:rsidR="005A7317" w:rsidRPr="0003653F">
              <w:rPr>
                <w:rFonts w:cs="Arial"/>
                <w:lang w:val="en-NZ"/>
              </w:rPr>
              <w:t xml:space="preserve"> (see section </w:t>
            </w:r>
            <w:r w:rsidR="007319D4">
              <w:rPr>
                <w:rFonts w:cs="Arial"/>
                <w:lang w:val="en-NZ"/>
              </w:rPr>
              <w:t>9</w:t>
            </w:r>
            <w:r w:rsidR="005A7317" w:rsidRPr="0003653F">
              <w:rPr>
                <w:rFonts w:cs="Arial"/>
                <w:lang w:val="en-NZ"/>
              </w:rPr>
              <w:t>: Refunding Fees)</w:t>
            </w:r>
            <w:r w:rsidR="009C4297" w:rsidRPr="0003653F">
              <w:rPr>
                <w:rFonts w:cs="Arial"/>
                <w:lang w:val="en-NZ"/>
              </w:rPr>
              <w:t>.</w:t>
            </w:r>
          </w:p>
          <w:p w14:paraId="50C1C1EB" w14:textId="77777777" w:rsidR="009C4297" w:rsidRPr="0003653F" w:rsidRDefault="009C4297" w:rsidP="00873C9B">
            <w:pPr>
              <w:pStyle w:val="TableText"/>
              <w:rPr>
                <w:rFonts w:cs="Arial"/>
                <w:lang w:val="en-NZ"/>
              </w:rPr>
            </w:pPr>
          </w:p>
        </w:tc>
        <w:tc>
          <w:tcPr>
            <w:tcW w:w="4394" w:type="dxa"/>
          </w:tcPr>
          <w:p w14:paraId="343930AF" w14:textId="77777777" w:rsidR="00805197" w:rsidRPr="0003653F" w:rsidRDefault="00BC69A8" w:rsidP="00873C9B">
            <w:pPr>
              <w:pStyle w:val="TableText"/>
              <w:rPr>
                <w:rFonts w:cs="Arial"/>
                <w:lang w:val="en-NZ"/>
              </w:rPr>
            </w:pPr>
            <w:r w:rsidRPr="0003653F">
              <w:rPr>
                <w:rFonts w:cs="Arial"/>
                <w:lang w:val="en-NZ"/>
              </w:rPr>
              <w:t>There will be no academic record for the relevant course</w:t>
            </w:r>
            <w:r w:rsidR="009C4297" w:rsidRPr="0003653F">
              <w:rPr>
                <w:rFonts w:cs="Arial"/>
                <w:lang w:val="en-NZ"/>
              </w:rPr>
              <w:t>.</w:t>
            </w:r>
          </w:p>
        </w:tc>
      </w:tr>
      <w:tr w:rsidR="00805197" w:rsidRPr="0003653F" w14:paraId="281E04E9" w14:textId="77777777" w:rsidTr="00873C9B">
        <w:tc>
          <w:tcPr>
            <w:tcW w:w="3402" w:type="dxa"/>
          </w:tcPr>
          <w:p w14:paraId="4D3559AA" w14:textId="7A1B23A0" w:rsidR="00805197" w:rsidRPr="0003653F" w:rsidRDefault="00D72A1B" w:rsidP="00DE2B11">
            <w:pPr>
              <w:pStyle w:val="TableText"/>
              <w:rPr>
                <w:rFonts w:cs="Arial"/>
                <w:lang w:val="en-NZ"/>
              </w:rPr>
            </w:pPr>
            <w:r w:rsidRPr="0003653F">
              <w:rPr>
                <w:rFonts w:cs="Arial"/>
                <w:lang w:val="en-NZ"/>
              </w:rPr>
              <w:t>After the last full refund date</w:t>
            </w:r>
            <w:r w:rsidR="00F65A03" w:rsidRPr="0003653F">
              <w:rPr>
                <w:rFonts w:cs="Arial"/>
                <w:lang w:val="en-NZ"/>
              </w:rPr>
              <w:t xml:space="preserve"> </w:t>
            </w:r>
            <w:r w:rsidR="003B73B7" w:rsidRPr="0003653F">
              <w:rPr>
                <w:rFonts w:cs="Arial"/>
                <w:lang w:val="en-NZ"/>
              </w:rPr>
              <w:t>(</w:t>
            </w:r>
            <w:r w:rsidR="005A7317" w:rsidRPr="0003653F">
              <w:rPr>
                <w:rFonts w:cs="Arial"/>
                <w:lang w:val="en-NZ"/>
              </w:rPr>
              <w:t xml:space="preserve">see section </w:t>
            </w:r>
            <w:r w:rsidR="00E907E3">
              <w:rPr>
                <w:rFonts w:cs="Arial"/>
                <w:lang w:val="en-NZ"/>
              </w:rPr>
              <w:t>8</w:t>
            </w:r>
            <w:r w:rsidR="005A7317" w:rsidRPr="0003653F">
              <w:rPr>
                <w:rFonts w:cs="Arial"/>
                <w:lang w:val="en-NZ"/>
              </w:rPr>
              <w:t xml:space="preserve">: Refunding Fees </w:t>
            </w:r>
          </w:p>
          <w:p w14:paraId="12BDA959" w14:textId="77777777" w:rsidR="009C4297" w:rsidRPr="0003653F" w:rsidRDefault="009C4297" w:rsidP="00DE2B11">
            <w:pPr>
              <w:pStyle w:val="TableText"/>
              <w:rPr>
                <w:rFonts w:cs="Arial"/>
                <w:lang w:val="en-NZ"/>
              </w:rPr>
            </w:pPr>
          </w:p>
        </w:tc>
        <w:tc>
          <w:tcPr>
            <w:tcW w:w="4394" w:type="dxa"/>
          </w:tcPr>
          <w:p w14:paraId="111685F7" w14:textId="5401CDE4" w:rsidR="00805197" w:rsidRPr="0003653F" w:rsidRDefault="00D72A1B" w:rsidP="00873C9B">
            <w:pPr>
              <w:pStyle w:val="TableText"/>
              <w:rPr>
                <w:rFonts w:cs="Arial"/>
                <w:lang w:val="en-NZ"/>
              </w:rPr>
            </w:pPr>
            <w:r w:rsidRPr="0003653F">
              <w:rPr>
                <w:rFonts w:cs="Arial"/>
                <w:lang w:val="en-NZ"/>
              </w:rPr>
              <w:t>The grade ‘W’</w:t>
            </w:r>
            <w:r w:rsidR="001937B2" w:rsidRPr="0003653F">
              <w:rPr>
                <w:rFonts w:cs="Arial"/>
                <w:lang w:val="en-NZ"/>
              </w:rPr>
              <w:t xml:space="preserve"> (withdrawn</w:t>
            </w:r>
            <w:r w:rsidRPr="0003653F">
              <w:rPr>
                <w:rFonts w:cs="Arial"/>
                <w:lang w:val="en-NZ"/>
              </w:rPr>
              <w:t xml:space="preserve"> will be recorded against the relevant </w:t>
            </w:r>
            <w:r w:rsidR="00232723">
              <w:rPr>
                <w:rFonts w:cs="Arial"/>
                <w:lang w:val="en-NZ"/>
              </w:rPr>
              <w:t xml:space="preserve">programme or </w:t>
            </w:r>
            <w:r w:rsidRPr="0003653F">
              <w:rPr>
                <w:rFonts w:cs="Arial"/>
                <w:lang w:val="en-NZ"/>
              </w:rPr>
              <w:t>course</w:t>
            </w:r>
            <w:r w:rsidR="00232723">
              <w:rPr>
                <w:rFonts w:cs="Arial"/>
                <w:lang w:val="en-NZ"/>
              </w:rPr>
              <w:t>)</w:t>
            </w:r>
          </w:p>
        </w:tc>
      </w:tr>
    </w:tbl>
    <w:p w14:paraId="26A2FA31" w14:textId="31E5439D" w:rsidR="00B619C3" w:rsidRPr="0003653F" w:rsidRDefault="00893B2F" w:rsidP="00766BF9">
      <w:pPr>
        <w:pStyle w:val="BlockNumber"/>
        <w:ind w:left="1587" w:hanging="873"/>
        <w:rPr>
          <w:rFonts w:cs="Arial"/>
          <w:szCs w:val="20"/>
          <w:lang w:val="en-NZ"/>
        </w:rPr>
      </w:pPr>
      <w:r>
        <w:rPr>
          <w:rFonts w:cs="Arial"/>
          <w:szCs w:val="20"/>
          <w:lang w:val="en-NZ"/>
        </w:rPr>
        <w:t>Learner</w:t>
      </w:r>
      <w:r w:rsidR="00D72A1B" w:rsidRPr="0003653F">
        <w:rPr>
          <w:rFonts w:cs="Arial"/>
          <w:szCs w:val="20"/>
          <w:lang w:val="en-NZ"/>
        </w:rPr>
        <w:t xml:space="preserve">s who withdraw from a </w:t>
      </w:r>
      <w:r w:rsidR="00737613" w:rsidRPr="0003653F">
        <w:rPr>
          <w:rFonts w:cs="Arial"/>
          <w:szCs w:val="20"/>
          <w:lang w:val="en-NZ"/>
        </w:rPr>
        <w:t>programme</w:t>
      </w:r>
      <w:r w:rsidR="00FF52AE">
        <w:rPr>
          <w:rFonts w:cs="Arial"/>
          <w:szCs w:val="20"/>
          <w:lang w:val="en-NZ"/>
        </w:rPr>
        <w:t xml:space="preserve">, </w:t>
      </w:r>
      <w:proofErr w:type="spellStart"/>
      <w:r w:rsidR="00FF52AE">
        <w:rPr>
          <w:rFonts w:cs="Arial"/>
          <w:szCs w:val="20"/>
          <w:lang w:val="en-NZ"/>
        </w:rPr>
        <w:t>microcredential</w:t>
      </w:r>
      <w:proofErr w:type="spellEnd"/>
      <w:r w:rsidR="00DC7BC6">
        <w:rPr>
          <w:rFonts w:cs="Arial"/>
          <w:szCs w:val="20"/>
          <w:lang w:val="en-NZ"/>
        </w:rPr>
        <w:t xml:space="preserve"> o</w:t>
      </w:r>
      <w:r w:rsidR="00144BB2" w:rsidRPr="0003653F">
        <w:rPr>
          <w:rFonts w:cs="Arial"/>
          <w:szCs w:val="20"/>
          <w:lang w:val="en-NZ"/>
        </w:rPr>
        <w:t xml:space="preserve">r </w:t>
      </w:r>
      <w:r w:rsidR="00737613" w:rsidRPr="0003653F">
        <w:rPr>
          <w:rFonts w:cs="Arial"/>
          <w:szCs w:val="20"/>
          <w:lang w:val="en-NZ"/>
        </w:rPr>
        <w:t xml:space="preserve">course </w:t>
      </w:r>
      <w:r w:rsidR="00984207" w:rsidRPr="0003653F">
        <w:rPr>
          <w:rFonts w:cs="Arial"/>
          <w:szCs w:val="20"/>
          <w:lang w:val="en-NZ"/>
        </w:rPr>
        <w:t>before the last full refund date</w:t>
      </w:r>
      <w:r w:rsidR="006279FA" w:rsidRPr="0003653F">
        <w:rPr>
          <w:rFonts w:cs="Arial"/>
          <w:szCs w:val="20"/>
          <w:lang w:val="en-NZ"/>
        </w:rPr>
        <w:t xml:space="preserve"> (see section </w:t>
      </w:r>
      <w:r w:rsidR="007319D4">
        <w:rPr>
          <w:rFonts w:cs="Arial"/>
          <w:szCs w:val="20"/>
          <w:lang w:val="en-NZ"/>
        </w:rPr>
        <w:t>9</w:t>
      </w:r>
      <w:r w:rsidR="006279FA" w:rsidRPr="0003653F">
        <w:rPr>
          <w:rFonts w:cs="Arial"/>
          <w:szCs w:val="20"/>
          <w:lang w:val="en-NZ"/>
        </w:rPr>
        <w:t>: Refunding Fees)</w:t>
      </w:r>
      <w:r w:rsidR="00D72A1B" w:rsidRPr="0003653F">
        <w:rPr>
          <w:rFonts w:cs="Arial"/>
          <w:szCs w:val="20"/>
          <w:lang w:val="en-NZ"/>
        </w:rPr>
        <w:t xml:space="preserve">, whether instigated by them or </w:t>
      </w:r>
      <w:r>
        <w:rPr>
          <w:rFonts w:cs="Arial"/>
          <w:szCs w:val="20"/>
          <w:lang w:val="en-NZ"/>
        </w:rPr>
        <w:t>ATNZ</w:t>
      </w:r>
      <w:r w:rsidR="00D72A1B" w:rsidRPr="0003653F">
        <w:rPr>
          <w:rFonts w:cs="Arial"/>
          <w:szCs w:val="20"/>
          <w:lang w:val="en-NZ"/>
        </w:rPr>
        <w:t xml:space="preserve">, </w:t>
      </w:r>
      <w:r w:rsidR="004813F9" w:rsidRPr="0003653F">
        <w:rPr>
          <w:rFonts w:cs="Arial"/>
          <w:szCs w:val="20"/>
          <w:lang w:val="en-NZ"/>
        </w:rPr>
        <w:t>shall</w:t>
      </w:r>
      <w:r w:rsidR="00D72A1B" w:rsidRPr="0003653F">
        <w:rPr>
          <w:rFonts w:cs="Arial"/>
          <w:szCs w:val="20"/>
          <w:lang w:val="en-NZ"/>
        </w:rPr>
        <w:t xml:space="preserve"> have their enrolment deemed as no longer valid. </w:t>
      </w:r>
    </w:p>
    <w:p w14:paraId="19C33BE2" w14:textId="24B24714" w:rsidR="00E27651" w:rsidRDefault="00E27651" w:rsidP="00766BF9">
      <w:pPr>
        <w:pStyle w:val="BlockNumber"/>
        <w:ind w:left="1587" w:hanging="873"/>
        <w:rPr>
          <w:rFonts w:cs="Arial"/>
          <w:szCs w:val="20"/>
          <w:lang w:val="en-NZ"/>
        </w:rPr>
      </w:pPr>
      <w:r>
        <w:rPr>
          <w:rFonts w:cs="Arial"/>
          <w:szCs w:val="20"/>
          <w:lang w:val="en-NZ"/>
        </w:rPr>
        <w:lastRenderedPageBreak/>
        <w:t xml:space="preserve">In exceptional circumstances, such as medical or compassionate circumstances, or other circumstances beyond the control of the </w:t>
      </w:r>
      <w:r w:rsidR="00893B2F">
        <w:rPr>
          <w:rFonts w:cs="Arial"/>
          <w:szCs w:val="20"/>
          <w:lang w:val="en-NZ"/>
        </w:rPr>
        <w:t>learner</w:t>
      </w:r>
      <w:r>
        <w:rPr>
          <w:rFonts w:cs="Arial"/>
          <w:szCs w:val="20"/>
          <w:lang w:val="en-NZ"/>
        </w:rPr>
        <w:t xml:space="preserve">, the regulations regarding withdrawal may be varied at the discretion of the Academic </w:t>
      </w:r>
      <w:r w:rsidR="00DC7BC6">
        <w:rPr>
          <w:rFonts w:cs="Arial"/>
          <w:szCs w:val="20"/>
          <w:lang w:val="en-NZ"/>
        </w:rPr>
        <w:t>Manager</w:t>
      </w:r>
      <w:r>
        <w:rPr>
          <w:rFonts w:cs="Arial"/>
          <w:szCs w:val="20"/>
          <w:lang w:val="en-NZ"/>
        </w:rPr>
        <w:t xml:space="preserve"> (or specified delegate).</w:t>
      </w:r>
    </w:p>
    <w:p w14:paraId="71DCFA6E" w14:textId="08C8B59C" w:rsidR="0069491A" w:rsidRDefault="00893B2F" w:rsidP="00766BF9">
      <w:pPr>
        <w:pStyle w:val="BlockNumber"/>
        <w:ind w:left="1587" w:hanging="873"/>
        <w:rPr>
          <w:rFonts w:cs="Arial"/>
          <w:szCs w:val="20"/>
          <w:lang w:val="en-NZ"/>
        </w:rPr>
      </w:pPr>
      <w:r>
        <w:rPr>
          <w:rFonts w:cs="Arial"/>
          <w:szCs w:val="20"/>
          <w:lang w:val="en-NZ"/>
        </w:rPr>
        <w:t>ATNZ</w:t>
      </w:r>
      <w:r w:rsidR="0038628E">
        <w:rPr>
          <w:rFonts w:cs="Arial"/>
          <w:szCs w:val="20"/>
          <w:lang w:val="en-NZ"/>
        </w:rPr>
        <w:t xml:space="preserve"> may at </w:t>
      </w:r>
      <w:proofErr w:type="spellStart"/>
      <w:proofErr w:type="gramStart"/>
      <w:r w:rsidR="0038628E">
        <w:rPr>
          <w:rFonts w:cs="Arial"/>
          <w:szCs w:val="20"/>
          <w:lang w:val="en-NZ"/>
        </w:rPr>
        <w:t>it’s</w:t>
      </w:r>
      <w:proofErr w:type="spellEnd"/>
      <w:proofErr w:type="gramEnd"/>
      <w:r w:rsidR="0038628E">
        <w:rPr>
          <w:rFonts w:cs="Arial"/>
          <w:szCs w:val="20"/>
          <w:lang w:val="en-NZ"/>
        </w:rPr>
        <w:t xml:space="preserve"> discretion waive the payment of additional course fees and transfer any previous assessment outcomes to a new course enrolment where a </w:t>
      </w:r>
      <w:r>
        <w:rPr>
          <w:rFonts w:cs="Arial"/>
          <w:szCs w:val="20"/>
          <w:lang w:val="en-NZ"/>
        </w:rPr>
        <w:t>learner</w:t>
      </w:r>
      <w:r w:rsidR="0038628E">
        <w:rPr>
          <w:rFonts w:cs="Arial"/>
          <w:szCs w:val="20"/>
          <w:lang w:val="en-NZ"/>
        </w:rPr>
        <w:t xml:space="preserve"> withdraws after the refund period for medical or compassionate reasons with the intent of deferring their study to a future course. </w:t>
      </w:r>
    </w:p>
    <w:p w14:paraId="16EBCC75" w14:textId="0BF3499E" w:rsidR="004B0C10" w:rsidRDefault="004B0C10" w:rsidP="00E975E8">
      <w:pPr>
        <w:pStyle w:val="BlockNumber"/>
        <w:numPr>
          <w:ilvl w:val="0"/>
          <w:numId w:val="0"/>
        </w:numPr>
        <w:ind w:left="1587"/>
        <w:rPr>
          <w:rFonts w:cs="Arial"/>
          <w:szCs w:val="20"/>
          <w:lang w:val="en-NZ"/>
        </w:rPr>
      </w:pPr>
    </w:p>
    <w:p w14:paraId="0F5BE368" w14:textId="77777777" w:rsidR="002D28FA" w:rsidRDefault="002D28FA" w:rsidP="00E975E8">
      <w:pPr>
        <w:pStyle w:val="BlockNumber"/>
        <w:numPr>
          <w:ilvl w:val="0"/>
          <w:numId w:val="0"/>
        </w:numPr>
        <w:ind w:left="1587"/>
        <w:rPr>
          <w:rFonts w:cs="Arial"/>
          <w:szCs w:val="20"/>
          <w:lang w:val="en-NZ"/>
        </w:rPr>
      </w:pPr>
    </w:p>
    <w:p w14:paraId="54376614" w14:textId="77777777" w:rsidR="00480B78" w:rsidRPr="00032FAF" w:rsidRDefault="005B449A" w:rsidP="004337B2">
      <w:pPr>
        <w:pStyle w:val="Heading1No"/>
        <w:rPr>
          <w:lang w:val="en-NZ"/>
        </w:rPr>
      </w:pPr>
      <w:bookmarkStart w:id="26" w:name="_Toc352741617"/>
      <w:bookmarkStart w:id="27" w:name="_Toc352763803"/>
      <w:bookmarkStart w:id="28" w:name="_Toc105753600"/>
      <w:r w:rsidRPr="004337B2">
        <w:t>Transfers</w:t>
      </w:r>
      <w:bookmarkEnd w:id="26"/>
      <w:bookmarkEnd w:id="27"/>
      <w:bookmarkEnd w:id="28"/>
    </w:p>
    <w:p w14:paraId="6C53FDF5" w14:textId="23B237B0" w:rsidR="00F534F3" w:rsidRPr="00DC7BC6" w:rsidRDefault="005B449A" w:rsidP="00133FF3">
      <w:pPr>
        <w:pStyle w:val="Heading2No"/>
        <w:rPr>
          <w:rFonts w:cs="Arial"/>
          <w:szCs w:val="20"/>
          <w:lang w:val="en-NZ"/>
        </w:rPr>
      </w:pPr>
      <w:r w:rsidRPr="00DC7BC6">
        <w:rPr>
          <w:rFonts w:cs="Arial"/>
          <w:szCs w:val="20"/>
          <w:lang w:val="en-NZ"/>
        </w:rPr>
        <w:t>Transfers between/within programmes</w:t>
      </w:r>
      <w:r w:rsidR="00FF52AE">
        <w:rPr>
          <w:rFonts w:cs="Arial"/>
          <w:szCs w:val="20"/>
          <w:lang w:val="en-NZ"/>
        </w:rPr>
        <w:t xml:space="preserve">, </w:t>
      </w:r>
      <w:proofErr w:type="spellStart"/>
      <w:r w:rsidR="00FF52AE">
        <w:rPr>
          <w:rFonts w:cs="Arial"/>
          <w:szCs w:val="20"/>
          <w:lang w:val="en-NZ"/>
        </w:rPr>
        <w:t>microcredential</w:t>
      </w:r>
      <w:r w:rsidR="006C639C">
        <w:rPr>
          <w:rFonts w:cs="Arial"/>
          <w:szCs w:val="20"/>
          <w:lang w:val="en-NZ"/>
        </w:rPr>
        <w:t>s</w:t>
      </w:r>
      <w:proofErr w:type="spellEnd"/>
      <w:r w:rsidR="00DC7BC6" w:rsidRPr="00DC7BC6">
        <w:rPr>
          <w:rFonts w:cs="Arial"/>
          <w:szCs w:val="20"/>
          <w:lang w:val="en-NZ"/>
        </w:rPr>
        <w:t xml:space="preserve"> </w:t>
      </w:r>
      <w:r w:rsidR="00144BB2" w:rsidRPr="00DC7BC6">
        <w:rPr>
          <w:rFonts w:cs="Arial"/>
          <w:szCs w:val="20"/>
          <w:lang w:val="en-NZ"/>
        </w:rPr>
        <w:t xml:space="preserve">or </w:t>
      </w:r>
      <w:r w:rsidRPr="00DC7BC6">
        <w:rPr>
          <w:rFonts w:cs="Arial"/>
          <w:szCs w:val="20"/>
          <w:lang w:val="en-NZ"/>
        </w:rPr>
        <w:t xml:space="preserve">courses at </w:t>
      </w:r>
      <w:r w:rsidR="00893B2F" w:rsidRPr="00DC7BC6">
        <w:rPr>
          <w:rFonts w:cs="Arial"/>
          <w:szCs w:val="20"/>
          <w:lang w:val="en-NZ"/>
        </w:rPr>
        <w:t>ATNZ</w:t>
      </w:r>
    </w:p>
    <w:p w14:paraId="6D428109" w14:textId="6B5905BE" w:rsidR="00736967" w:rsidRPr="0003653F" w:rsidRDefault="00893B2F">
      <w:pPr>
        <w:pStyle w:val="BlockNumber"/>
        <w:ind w:left="1587" w:hanging="873"/>
        <w:rPr>
          <w:rFonts w:cs="Arial"/>
          <w:szCs w:val="20"/>
          <w:lang w:val="en-NZ"/>
        </w:rPr>
      </w:pPr>
      <w:r>
        <w:rPr>
          <w:rFonts w:cs="Arial"/>
          <w:szCs w:val="20"/>
          <w:lang w:val="en-NZ"/>
        </w:rPr>
        <w:t>Learner</w:t>
      </w:r>
      <w:r w:rsidR="005B449A" w:rsidRPr="0003653F">
        <w:rPr>
          <w:rFonts w:cs="Arial"/>
          <w:szCs w:val="20"/>
          <w:lang w:val="en-NZ"/>
        </w:rPr>
        <w:t xml:space="preserve">s may apply </w:t>
      </w:r>
      <w:r w:rsidR="00873C9B" w:rsidRPr="0003653F">
        <w:rPr>
          <w:rFonts w:cs="Arial"/>
          <w:szCs w:val="20"/>
          <w:lang w:val="en-NZ"/>
        </w:rPr>
        <w:t>to</w:t>
      </w:r>
      <w:r w:rsidR="005B449A" w:rsidRPr="0003653F">
        <w:rPr>
          <w:rFonts w:cs="Arial"/>
          <w:szCs w:val="20"/>
          <w:lang w:val="en-NZ"/>
        </w:rPr>
        <w:t xml:space="preserve"> transfer between </w:t>
      </w:r>
      <w:r w:rsidR="00CB0EB9" w:rsidRPr="0003653F">
        <w:rPr>
          <w:rFonts w:cs="Arial"/>
          <w:szCs w:val="20"/>
          <w:lang w:val="en-NZ"/>
        </w:rPr>
        <w:t xml:space="preserve">a </w:t>
      </w:r>
      <w:r>
        <w:rPr>
          <w:rFonts w:cs="Arial"/>
          <w:szCs w:val="20"/>
          <w:lang w:val="en-NZ"/>
        </w:rPr>
        <w:t>ATNZ</w:t>
      </w:r>
      <w:r w:rsidR="006B5B47" w:rsidRPr="0003653F">
        <w:rPr>
          <w:rFonts w:cs="Arial"/>
          <w:szCs w:val="20"/>
          <w:lang w:val="en-NZ"/>
        </w:rPr>
        <w:t xml:space="preserve"> </w:t>
      </w:r>
      <w:r w:rsidR="005B449A" w:rsidRPr="0003653F">
        <w:rPr>
          <w:rFonts w:cs="Arial"/>
          <w:szCs w:val="20"/>
          <w:lang w:val="en-NZ"/>
        </w:rPr>
        <w:t>programme</w:t>
      </w:r>
      <w:r w:rsidR="006C639C">
        <w:rPr>
          <w:rFonts w:cs="Arial"/>
          <w:szCs w:val="20"/>
          <w:lang w:val="en-NZ"/>
        </w:rPr>
        <w:t xml:space="preserve">, </w:t>
      </w:r>
      <w:proofErr w:type="spellStart"/>
      <w:r w:rsidR="006C639C">
        <w:rPr>
          <w:rFonts w:cs="Arial"/>
          <w:szCs w:val="20"/>
          <w:lang w:val="en-NZ"/>
        </w:rPr>
        <w:t>microcredentials</w:t>
      </w:r>
      <w:proofErr w:type="spellEnd"/>
      <w:r w:rsidR="00DC7BC6">
        <w:rPr>
          <w:rFonts w:cs="Arial"/>
          <w:szCs w:val="20"/>
          <w:lang w:val="en-NZ"/>
        </w:rPr>
        <w:t xml:space="preserve"> </w:t>
      </w:r>
      <w:r w:rsidR="00144BB2" w:rsidRPr="0003653F">
        <w:rPr>
          <w:rFonts w:cs="Arial"/>
          <w:szCs w:val="20"/>
          <w:lang w:val="en-NZ"/>
        </w:rPr>
        <w:t xml:space="preserve">or </w:t>
      </w:r>
      <w:r w:rsidR="005B449A" w:rsidRPr="0003653F">
        <w:rPr>
          <w:rFonts w:cs="Arial"/>
          <w:szCs w:val="20"/>
          <w:lang w:val="en-NZ"/>
        </w:rPr>
        <w:t xml:space="preserve">course by completing and </w:t>
      </w:r>
      <w:r w:rsidR="006F08CE" w:rsidRPr="0003653F">
        <w:rPr>
          <w:rFonts w:cs="Arial"/>
          <w:szCs w:val="20"/>
          <w:lang w:val="en-NZ"/>
        </w:rPr>
        <w:t>submitting</w:t>
      </w:r>
      <w:r w:rsidR="005B449A" w:rsidRPr="0003653F">
        <w:rPr>
          <w:rFonts w:cs="Arial"/>
          <w:szCs w:val="20"/>
          <w:lang w:val="en-NZ"/>
        </w:rPr>
        <w:t xml:space="preserve"> a</w:t>
      </w:r>
      <w:r w:rsidR="00001D9F">
        <w:rPr>
          <w:rFonts w:cs="Arial"/>
          <w:szCs w:val="20"/>
          <w:lang w:val="en-NZ"/>
        </w:rPr>
        <w:t xml:space="preserve"> new </w:t>
      </w:r>
      <w:r w:rsidR="00E64291">
        <w:rPr>
          <w:rFonts w:cs="Arial"/>
          <w:szCs w:val="20"/>
          <w:lang w:val="en-NZ"/>
        </w:rPr>
        <w:t>e</w:t>
      </w:r>
      <w:r w:rsidR="00001D9F">
        <w:rPr>
          <w:rFonts w:cs="Arial"/>
          <w:szCs w:val="20"/>
          <w:lang w:val="en-NZ"/>
        </w:rPr>
        <w:t xml:space="preserve">nrolment </w:t>
      </w:r>
      <w:r w:rsidR="00E64291">
        <w:rPr>
          <w:rFonts w:cs="Arial"/>
          <w:szCs w:val="20"/>
          <w:lang w:val="en-NZ"/>
        </w:rPr>
        <w:t xml:space="preserve">application and form for the programme they wish to transfer to and a </w:t>
      </w:r>
      <w:r w:rsidR="005B449A" w:rsidRPr="0003653F">
        <w:rPr>
          <w:rFonts w:cs="Arial"/>
          <w:i/>
          <w:szCs w:val="20"/>
          <w:lang w:val="en-NZ"/>
        </w:rPr>
        <w:t>Withdrawal</w:t>
      </w:r>
      <w:r w:rsidR="005B449A" w:rsidRPr="0003653F">
        <w:rPr>
          <w:rFonts w:cs="Arial"/>
          <w:szCs w:val="20"/>
          <w:lang w:val="en-NZ"/>
        </w:rPr>
        <w:t xml:space="preserve"> </w:t>
      </w:r>
      <w:r w:rsidR="006B5B47" w:rsidRPr="0003653F">
        <w:rPr>
          <w:rFonts w:cs="Arial"/>
          <w:szCs w:val="20"/>
          <w:lang w:val="en-NZ"/>
        </w:rPr>
        <w:t>f</w:t>
      </w:r>
      <w:r w:rsidR="005B449A" w:rsidRPr="0003653F">
        <w:rPr>
          <w:rFonts w:cs="Arial"/>
          <w:szCs w:val="20"/>
          <w:lang w:val="en-NZ"/>
        </w:rPr>
        <w:t>orm</w:t>
      </w:r>
      <w:r w:rsidR="00E64291">
        <w:rPr>
          <w:rFonts w:cs="Arial"/>
          <w:szCs w:val="20"/>
          <w:lang w:val="en-NZ"/>
        </w:rPr>
        <w:t xml:space="preserve"> for the existing enrolment</w:t>
      </w:r>
      <w:r w:rsidR="005B449A" w:rsidRPr="0003653F">
        <w:rPr>
          <w:rStyle w:val="FootnoteReference"/>
          <w:rFonts w:cs="Arial"/>
          <w:szCs w:val="20"/>
          <w:lang w:val="en-NZ"/>
        </w:rPr>
        <w:footnoteReference w:id="5"/>
      </w:r>
      <w:r w:rsidR="005B449A" w:rsidRPr="0003653F">
        <w:rPr>
          <w:rFonts w:cs="Arial"/>
          <w:szCs w:val="20"/>
          <w:lang w:val="en-NZ"/>
        </w:rPr>
        <w:t xml:space="preserve">.  </w:t>
      </w:r>
    </w:p>
    <w:p w14:paraId="2B5D18CD" w14:textId="02F6A35C" w:rsidR="00736967" w:rsidRPr="0003653F" w:rsidRDefault="005B449A">
      <w:pPr>
        <w:pStyle w:val="BlockNumber"/>
        <w:ind w:left="1587" w:hanging="873"/>
        <w:rPr>
          <w:rFonts w:cs="Arial"/>
          <w:szCs w:val="20"/>
          <w:lang w:val="en-NZ"/>
        </w:rPr>
      </w:pPr>
      <w:r w:rsidRPr="0003653F">
        <w:rPr>
          <w:rFonts w:cs="Arial"/>
          <w:szCs w:val="20"/>
          <w:lang w:val="en-NZ"/>
        </w:rPr>
        <w:t xml:space="preserve">Transfers </w:t>
      </w:r>
      <w:r w:rsidR="004813F9" w:rsidRPr="0003653F">
        <w:rPr>
          <w:rFonts w:cs="Arial"/>
          <w:szCs w:val="20"/>
          <w:lang w:val="en-NZ"/>
        </w:rPr>
        <w:t>shall</w:t>
      </w:r>
      <w:r w:rsidRPr="0003653F">
        <w:rPr>
          <w:rFonts w:cs="Arial"/>
          <w:szCs w:val="20"/>
          <w:lang w:val="en-NZ"/>
        </w:rPr>
        <w:t xml:space="preserve"> only be made </w:t>
      </w:r>
      <w:r w:rsidR="000C6935" w:rsidRPr="0003653F">
        <w:rPr>
          <w:rFonts w:cs="Arial"/>
          <w:szCs w:val="20"/>
          <w:lang w:val="en-NZ"/>
        </w:rPr>
        <w:t xml:space="preserve">in accordance with the </w:t>
      </w:r>
      <w:r w:rsidR="00DC7BC6">
        <w:rPr>
          <w:rFonts w:cs="Arial"/>
          <w:szCs w:val="20"/>
          <w:lang w:val="en-NZ"/>
        </w:rPr>
        <w:t>p</w:t>
      </w:r>
      <w:r w:rsidR="000C6935" w:rsidRPr="0003653F">
        <w:rPr>
          <w:rFonts w:cs="Arial"/>
          <w:szCs w:val="20"/>
          <w:lang w:val="en-NZ"/>
        </w:rPr>
        <w:t>rogramme</w:t>
      </w:r>
      <w:r w:rsidR="00DC7BC6">
        <w:rPr>
          <w:rFonts w:cs="Arial"/>
          <w:szCs w:val="20"/>
          <w:lang w:val="en-NZ"/>
        </w:rPr>
        <w:t xml:space="preserve"> r</w:t>
      </w:r>
      <w:r w:rsidR="000C6935" w:rsidRPr="0003653F">
        <w:rPr>
          <w:rFonts w:cs="Arial"/>
          <w:szCs w:val="20"/>
          <w:lang w:val="en-NZ"/>
        </w:rPr>
        <w:t xml:space="preserve">egulations and </w:t>
      </w:r>
      <w:r w:rsidRPr="0003653F">
        <w:rPr>
          <w:rFonts w:cs="Arial"/>
          <w:szCs w:val="20"/>
          <w:lang w:val="en-NZ"/>
        </w:rPr>
        <w:t xml:space="preserve">with the approval of the </w:t>
      </w:r>
      <w:r w:rsidR="00DC7BC6">
        <w:rPr>
          <w:rFonts w:cs="Arial"/>
          <w:szCs w:val="20"/>
          <w:lang w:val="en-NZ"/>
        </w:rPr>
        <w:t>PTE Manager</w:t>
      </w:r>
      <w:r w:rsidRPr="0003653F">
        <w:rPr>
          <w:rFonts w:cs="Arial"/>
          <w:szCs w:val="20"/>
          <w:lang w:val="en-NZ"/>
        </w:rPr>
        <w:t>.</w:t>
      </w:r>
    </w:p>
    <w:p w14:paraId="2D8D44EB" w14:textId="324680EF" w:rsidR="00736967" w:rsidRPr="0003653F" w:rsidRDefault="00893B2F">
      <w:pPr>
        <w:pStyle w:val="BlockNumber"/>
        <w:ind w:left="1587" w:hanging="873"/>
        <w:rPr>
          <w:rFonts w:cs="Arial"/>
          <w:b/>
          <w:i/>
          <w:szCs w:val="20"/>
          <w:lang w:val="en-NZ"/>
        </w:rPr>
      </w:pPr>
      <w:r>
        <w:rPr>
          <w:rFonts w:cs="Arial"/>
          <w:szCs w:val="20"/>
          <w:lang w:val="en-NZ"/>
        </w:rPr>
        <w:t>ATNZ</w:t>
      </w:r>
      <w:r w:rsidR="00FE6B37">
        <w:rPr>
          <w:rFonts w:cs="Arial"/>
          <w:szCs w:val="20"/>
          <w:lang w:val="en-NZ"/>
        </w:rPr>
        <w:t xml:space="preserve"> will generally only approve </w:t>
      </w:r>
      <w:r w:rsidR="005B449A" w:rsidRPr="0003653F">
        <w:rPr>
          <w:rFonts w:cs="Arial"/>
          <w:szCs w:val="20"/>
          <w:lang w:val="en-NZ"/>
        </w:rPr>
        <w:t>Transfers:</w:t>
      </w:r>
    </w:p>
    <w:p w14:paraId="67832D8E" w14:textId="72D60711" w:rsidR="00736967" w:rsidRPr="0003653F" w:rsidRDefault="005B449A" w:rsidP="00135CF0">
      <w:pPr>
        <w:pStyle w:val="Bullet1"/>
        <w:tabs>
          <w:tab w:val="clear" w:pos="1494"/>
        </w:tabs>
        <w:ind w:left="2127" w:hanging="426"/>
        <w:rPr>
          <w:rFonts w:cs="Arial"/>
          <w:lang w:val="en-NZ"/>
        </w:rPr>
      </w:pPr>
      <w:r w:rsidRPr="0003653F">
        <w:rPr>
          <w:rFonts w:cs="Arial"/>
          <w:lang w:val="en-NZ"/>
        </w:rPr>
        <w:t xml:space="preserve">Within the current </w:t>
      </w:r>
      <w:r w:rsidR="00DC7BC6">
        <w:rPr>
          <w:rFonts w:cs="Arial"/>
          <w:lang w:val="en-NZ"/>
        </w:rPr>
        <w:t xml:space="preserve">calendar </w:t>
      </w:r>
      <w:r w:rsidRPr="0003653F">
        <w:rPr>
          <w:rFonts w:cs="Arial"/>
          <w:lang w:val="en-NZ"/>
        </w:rPr>
        <w:t>year; and</w:t>
      </w:r>
    </w:p>
    <w:p w14:paraId="2E77A091" w14:textId="77777777" w:rsidR="00736967" w:rsidRPr="0003653F" w:rsidRDefault="005B449A" w:rsidP="00135CF0">
      <w:pPr>
        <w:pStyle w:val="Bullet1"/>
        <w:tabs>
          <w:tab w:val="clear" w:pos="1494"/>
        </w:tabs>
        <w:ind w:left="2127" w:hanging="426"/>
        <w:rPr>
          <w:rFonts w:cs="Arial"/>
          <w:lang w:val="en-NZ"/>
        </w:rPr>
      </w:pPr>
      <w:r w:rsidRPr="0003653F">
        <w:rPr>
          <w:rFonts w:cs="Arial"/>
          <w:lang w:val="en-NZ"/>
        </w:rPr>
        <w:t>If</w:t>
      </w:r>
      <w:r w:rsidR="00D26AC8" w:rsidRPr="0003653F">
        <w:rPr>
          <w:rFonts w:cs="Arial"/>
          <w:lang w:val="en-NZ"/>
        </w:rPr>
        <w:t xml:space="preserve"> pl</w:t>
      </w:r>
      <w:r w:rsidRPr="0003653F">
        <w:rPr>
          <w:rFonts w:cs="Arial"/>
          <w:lang w:val="en-NZ"/>
        </w:rPr>
        <w:t xml:space="preserve">aces are available </w:t>
      </w:r>
      <w:r w:rsidR="00B83B21" w:rsidRPr="0003653F">
        <w:rPr>
          <w:rFonts w:cs="Arial"/>
          <w:lang w:val="en-NZ"/>
        </w:rPr>
        <w:t>i</w:t>
      </w:r>
      <w:r w:rsidRPr="0003653F">
        <w:rPr>
          <w:rFonts w:cs="Arial"/>
          <w:lang w:val="en-NZ"/>
        </w:rPr>
        <w:t>n the relevant course.</w:t>
      </w:r>
    </w:p>
    <w:p w14:paraId="3E579771" w14:textId="6DD5FB4D" w:rsidR="00736967" w:rsidRPr="0003653F" w:rsidRDefault="005B449A">
      <w:pPr>
        <w:pStyle w:val="BlockNumber"/>
        <w:ind w:left="1587" w:hanging="873"/>
        <w:rPr>
          <w:rFonts w:cs="Arial"/>
          <w:szCs w:val="20"/>
          <w:lang w:val="en-NZ"/>
        </w:rPr>
      </w:pPr>
      <w:r w:rsidRPr="0003653F">
        <w:rPr>
          <w:rFonts w:cs="Arial"/>
          <w:szCs w:val="20"/>
          <w:lang w:val="en-NZ"/>
        </w:rPr>
        <w:t>Transfer time frames are calculated from the start date of the course in which</w:t>
      </w:r>
      <w:r w:rsidR="00931AC1" w:rsidRPr="0003653F">
        <w:rPr>
          <w:rFonts w:cs="Arial"/>
          <w:szCs w:val="20"/>
          <w:lang w:val="en-NZ"/>
        </w:rPr>
        <w:t xml:space="preserve"> a</w:t>
      </w:r>
      <w:r w:rsidRPr="0003653F">
        <w:rPr>
          <w:rFonts w:cs="Arial"/>
          <w:szCs w:val="20"/>
          <w:lang w:val="en-NZ"/>
        </w:rPr>
        <w:t xml:space="preserve"> </w:t>
      </w:r>
      <w:r w:rsidR="00893B2F">
        <w:rPr>
          <w:rFonts w:cs="Arial"/>
          <w:szCs w:val="20"/>
          <w:lang w:val="en-NZ"/>
        </w:rPr>
        <w:t>learner</w:t>
      </w:r>
      <w:r w:rsidRPr="0003653F">
        <w:rPr>
          <w:rFonts w:cs="Arial"/>
          <w:szCs w:val="20"/>
          <w:lang w:val="en-NZ"/>
        </w:rPr>
        <w:t xml:space="preserve"> initially enrolled. </w:t>
      </w:r>
      <w:r w:rsidR="00201D35" w:rsidRPr="0003653F">
        <w:rPr>
          <w:rFonts w:cs="Arial"/>
          <w:szCs w:val="20"/>
          <w:lang w:val="en-NZ"/>
        </w:rPr>
        <w:t>This applies to full-time and part-time courses.</w:t>
      </w:r>
    </w:p>
    <w:p w14:paraId="4159AFCE" w14:textId="0DBD4867" w:rsidR="00736967" w:rsidRPr="0003653F" w:rsidRDefault="00893B2F">
      <w:pPr>
        <w:pStyle w:val="BlockNumber"/>
        <w:ind w:left="1587" w:hanging="873"/>
        <w:rPr>
          <w:rFonts w:cs="Arial"/>
          <w:szCs w:val="20"/>
          <w:lang w:val="en-NZ"/>
        </w:rPr>
      </w:pPr>
      <w:r>
        <w:rPr>
          <w:rFonts w:cs="Arial"/>
          <w:szCs w:val="20"/>
          <w:lang w:val="en-NZ"/>
        </w:rPr>
        <w:t>Learner</w:t>
      </w:r>
      <w:r w:rsidR="00337986" w:rsidRPr="0003653F">
        <w:rPr>
          <w:rFonts w:cs="Arial"/>
          <w:szCs w:val="20"/>
          <w:lang w:val="en-NZ"/>
        </w:rPr>
        <w:t xml:space="preserve">s who enrol prior to receiving their results from a previous course/s, </w:t>
      </w:r>
      <w:r w:rsidR="005B449A" w:rsidRPr="0003653F">
        <w:rPr>
          <w:rFonts w:cs="Arial"/>
          <w:szCs w:val="20"/>
          <w:lang w:val="en-NZ"/>
        </w:rPr>
        <w:t xml:space="preserve">and it later eventuates that they have enrolled </w:t>
      </w:r>
      <w:r w:rsidR="00337986" w:rsidRPr="0003653F">
        <w:rPr>
          <w:rFonts w:cs="Arial"/>
          <w:szCs w:val="20"/>
          <w:lang w:val="en-NZ"/>
        </w:rPr>
        <w:t xml:space="preserve">in </w:t>
      </w:r>
      <w:r w:rsidR="005B449A" w:rsidRPr="0003653F">
        <w:rPr>
          <w:rFonts w:cs="Arial"/>
          <w:szCs w:val="20"/>
          <w:lang w:val="en-NZ"/>
        </w:rPr>
        <w:t>courses which they are unable to attend, may apply to transfer their enrolment to alternative courses.</w:t>
      </w:r>
      <w:r w:rsidR="00BE4D36" w:rsidRPr="0003653F">
        <w:rPr>
          <w:rFonts w:cs="Arial"/>
          <w:szCs w:val="20"/>
          <w:lang w:val="en-NZ"/>
        </w:rPr>
        <w:t xml:space="preserve">  </w:t>
      </w:r>
      <w:r>
        <w:rPr>
          <w:rFonts w:cs="Arial"/>
          <w:szCs w:val="20"/>
          <w:lang w:val="en-NZ"/>
        </w:rPr>
        <w:t>ATNZ</w:t>
      </w:r>
      <w:r w:rsidR="00337986" w:rsidRPr="0003653F">
        <w:rPr>
          <w:rFonts w:cs="Arial"/>
          <w:szCs w:val="20"/>
          <w:lang w:val="en-NZ"/>
        </w:rPr>
        <w:t xml:space="preserve"> reserves the right to cancel a </w:t>
      </w:r>
      <w:r>
        <w:rPr>
          <w:rFonts w:cs="Arial"/>
          <w:szCs w:val="20"/>
          <w:lang w:val="en-NZ"/>
        </w:rPr>
        <w:t>learner</w:t>
      </w:r>
      <w:r w:rsidR="00337986" w:rsidRPr="0003653F">
        <w:rPr>
          <w:rFonts w:cs="Arial"/>
          <w:szCs w:val="20"/>
          <w:lang w:val="en-NZ"/>
        </w:rPr>
        <w:t xml:space="preserve">’s enrolment in a course where they do not meet the pre-requisite for enrolment (see section </w:t>
      </w:r>
      <w:r w:rsidR="007319D4">
        <w:rPr>
          <w:rFonts w:cs="Arial"/>
          <w:szCs w:val="20"/>
          <w:lang w:val="en-NZ"/>
        </w:rPr>
        <w:t>3</w:t>
      </w:r>
      <w:r w:rsidR="00337986" w:rsidRPr="0003653F">
        <w:rPr>
          <w:rFonts w:cs="Arial"/>
          <w:szCs w:val="20"/>
          <w:lang w:val="en-NZ"/>
        </w:rPr>
        <w:t>.8: Refusal or cancellation of enrolment</w:t>
      </w:r>
      <w:r w:rsidR="00261BC4" w:rsidRPr="0003653F">
        <w:rPr>
          <w:rFonts w:cs="Arial"/>
          <w:szCs w:val="20"/>
          <w:lang w:val="en-NZ"/>
        </w:rPr>
        <w:t xml:space="preserve"> and section </w:t>
      </w:r>
      <w:r w:rsidR="00E907E3">
        <w:rPr>
          <w:rFonts w:cs="Arial"/>
          <w:szCs w:val="20"/>
          <w:lang w:val="en-NZ"/>
        </w:rPr>
        <w:t>9</w:t>
      </w:r>
      <w:r w:rsidR="00261BC4" w:rsidRPr="0003653F">
        <w:rPr>
          <w:rFonts w:cs="Arial"/>
          <w:szCs w:val="20"/>
          <w:lang w:val="en-NZ"/>
        </w:rPr>
        <w:t xml:space="preserve">: </w:t>
      </w:r>
      <w:r w:rsidR="00261BC4" w:rsidRPr="0003653F">
        <w:rPr>
          <w:rFonts w:cs="Arial"/>
          <w:szCs w:val="20"/>
        </w:rPr>
        <w:fldChar w:fldCharType="begin"/>
      </w:r>
      <w:r w:rsidR="00261BC4" w:rsidRPr="0003653F">
        <w:rPr>
          <w:rFonts w:cs="Arial"/>
          <w:szCs w:val="20"/>
        </w:rPr>
        <w:instrText xml:space="preserve"> REF _Ref221097112 \h  \* MERGEFORMAT </w:instrText>
      </w:r>
      <w:r w:rsidR="00261BC4" w:rsidRPr="0003653F">
        <w:rPr>
          <w:rFonts w:cs="Arial"/>
          <w:szCs w:val="20"/>
        </w:rPr>
      </w:r>
      <w:r w:rsidR="00261BC4" w:rsidRPr="0003653F">
        <w:rPr>
          <w:rFonts w:cs="Arial"/>
          <w:szCs w:val="20"/>
        </w:rPr>
        <w:fldChar w:fldCharType="separate"/>
      </w:r>
      <w:r w:rsidR="00E12AEE" w:rsidRPr="0003653F">
        <w:rPr>
          <w:rFonts w:cs="Arial"/>
          <w:szCs w:val="20"/>
          <w:lang w:val="en-NZ"/>
        </w:rPr>
        <w:t>Academic Progress</w:t>
      </w:r>
      <w:r w:rsidR="00261BC4" w:rsidRPr="0003653F">
        <w:rPr>
          <w:rFonts w:cs="Arial"/>
          <w:szCs w:val="20"/>
        </w:rPr>
        <w:fldChar w:fldCharType="end"/>
      </w:r>
      <w:r w:rsidR="00337986" w:rsidRPr="0003653F">
        <w:rPr>
          <w:rFonts w:cs="Arial"/>
          <w:szCs w:val="20"/>
          <w:lang w:val="en-NZ"/>
        </w:rPr>
        <w:t>).</w:t>
      </w:r>
    </w:p>
    <w:p w14:paraId="28BA3EF0" w14:textId="77777777" w:rsidR="00736967" w:rsidRPr="00032FAF" w:rsidRDefault="005B449A">
      <w:pPr>
        <w:pStyle w:val="Heading2No"/>
        <w:rPr>
          <w:rFonts w:cs="Arial"/>
          <w:szCs w:val="20"/>
          <w:lang w:val="en-NZ"/>
        </w:rPr>
      </w:pPr>
      <w:r w:rsidRPr="00032FAF">
        <w:rPr>
          <w:rFonts w:cs="Arial"/>
          <w:szCs w:val="20"/>
          <w:lang w:val="en-NZ"/>
        </w:rPr>
        <w:t xml:space="preserve">Fees associated with </w:t>
      </w:r>
      <w:proofErr w:type="gramStart"/>
      <w:r w:rsidRPr="00032FAF">
        <w:rPr>
          <w:rFonts w:cs="Arial"/>
          <w:szCs w:val="20"/>
          <w:lang w:val="en-NZ"/>
        </w:rPr>
        <w:t>transfers</w:t>
      </w:r>
      <w:proofErr w:type="gramEnd"/>
    </w:p>
    <w:p w14:paraId="0C0D5382" w14:textId="4205C52E" w:rsidR="00736967" w:rsidRPr="0003653F" w:rsidRDefault="005B449A">
      <w:pPr>
        <w:pStyle w:val="BlockNumber"/>
        <w:ind w:left="1587" w:hanging="873"/>
        <w:rPr>
          <w:rFonts w:cs="Arial"/>
          <w:szCs w:val="20"/>
          <w:lang w:val="en-NZ"/>
        </w:rPr>
      </w:pPr>
      <w:r w:rsidRPr="0003653F">
        <w:rPr>
          <w:rFonts w:cs="Arial"/>
          <w:szCs w:val="20"/>
          <w:lang w:val="en-NZ"/>
        </w:rPr>
        <w:t xml:space="preserve">An administration fee </w:t>
      </w:r>
      <w:r w:rsidR="007A5209" w:rsidRPr="0003653F">
        <w:rPr>
          <w:rFonts w:cs="Arial"/>
          <w:szCs w:val="20"/>
          <w:lang w:val="en-NZ"/>
        </w:rPr>
        <w:t xml:space="preserve">may </w:t>
      </w:r>
      <w:r w:rsidRPr="0003653F">
        <w:rPr>
          <w:rFonts w:cs="Arial"/>
          <w:szCs w:val="20"/>
          <w:lang w:val="en-NZ"/>
        </w:rPr>
        <w:t xml:space="preserve">be charged for each transfer initiated by a </w:t>
      </w:r>
      <w:r w:rsidR="00893B2F">
        <w:rPr>
          <w:rFonts w:cs="Arial"/>
          <w:szCs w:val="20"/>
          <w:lang w:val="en-NZ"/>
        </w:rPr>
        <w:t>learner</w:t>
      </w:r>
      <w:r w:rsidRPr="0003653F">
        <w:rPr>
          <w:rFonts w:cs="Arial"/>
          <w:szCs w:val="20"/>
          <w:lang w:val="en-NZ"/>
        </w:rPr>
        <w:t xml:space="preserve">.  The fee must be paid </w:t>
      </w:r>
      <w:r w:rsidR="00440AE9" w:rsidRPr="0003653F">
        <w:rPr>
          <w:rFonts w:cs="Arial"/>
          <w:szCs w:val="20"/>
          <w:lang w:val="en-NZ"/>
        </w:rPr>
        <w:t>before</w:t>
      </w:r>
      <w:r w:rsidRPr="0003653F">
        <w:rPr>
          <w:rFonts w:cs="Arial"/>
          <w:szCs w:val="20"/>
          <w:lang w:val="en-NZ"/>
        </w:rPr>
        <w:t xml:space="preserve"> the transfer application </w:t>
      </w:r>
      <w:r w:rsidR="00440AE9" w:rsidRPr="0003653F">
        <w:rPr>
          <w:rFonts w:cs="Arial"/>
          <w:szCs w:val="20"/>
          <w:lang w:val="en-NZ"/>
        </w:rPr>
        <w:t>will be</w:t>
      </w:r>
      <w:r w:rsidRPr="0003653F">
        <w:rPr>
          <w:rFonts w:cs="Arial"/>
          <w:szCs w:val="20"/>
          <w:lang w:val="en-NZ"/>
        </w:rPr>
        <w:t xml:space="preserve"> processed.</w:t>
      </w:r>
    </w:p>
    <w:p w14:paraId="76495F4A" w14:textId="7080E82A" w:rsidR="00736967" w:rsidRPr="0003653F" w:rsidRDefault="002A7E62">
      <w:pPr>
        <w:pStyle w:val="BlockNumber"/>
        <w:ind w:left="1587" w:hanging="873"/>
        <w:rPr>
          <w:rFonts w:cs="Arial"/>
          <w:szCs w:val="20"/>
          <w:lang w:val="en-NZ"/>
        </w:rPr>
      </w:pPr>
      <w:r w:rsidRPr="0003653F">
        <w:rPr>
          <w:rFonts w:cs="Arial"/>
          <w:szCs w:val="20"/>
          <w:lang w:val="en-NZ"/>
        </w:rPr>
        <w:t xml:space="preserve">Where </w:t>
      </w:r>
      <w:r w:rsidR="005B449A" w:rsidRPr="0003653F">
        <w:rPr>
          <w:rFonts w:cs="Arial"/>
          <w:szCs w:val="20"/>
          <w:lang w:val="en-NZ"/>
        </w:rPr>
        <w:t xml:space="preserve">transfers involve the payment of further fees, </w:t>
      </w:r>
      <w:r w:rsidR="00893B2F">
        <w:rPr>
          <w:rFonts w:cs="Arial"/>
          <w:szCs w:val="20"/>
          <w:lang w:val="en-NZ"/>
        </w:rPr>
        <w:t>learner</w:t>
      </w:r>
      <w:r w:rsidR="005B449A" w:rsidRPr="0003653F">
        <w:rPr>
          <w:rFonts w:cs="Arial"/>
          <w:szCs w:val="20"/>
          <w:lang w:val="en-NZ"/>
        </w:rPr>
        <w:t xml:space="preserve">s shall pay or arrange for payment of the additional </w:t>
      </w:r>
      <w:r w:rsidRPr="0003653F">
        <w:rPr>
          <w:rFonts w:cs="Arial"/>
          <w:szCs w:val="20"/>
          <w:lang w:val="en-NZ"/>
        </w:rPr>
        <w:t>fees when requesting the transfer</w:t>
      </w:r>
      <w:r w:rsidR="00931AC1" w:rsidRPr="0003653F">
        <w:rPr>
          <w:rFonts w:cs="Arial"/>
          <w:szCs w:val="20"/>
          <w:lang w:val="en-NZ"/>
        </w:rPr>
        <w:t>.</w:t>
      </w:r>
    </w:p>
    <w:p w14:paraId="77D99B81" w14:textId="2FB42959" w:rsidR="00736967" w:rsidRPr="0003653F" w:rsidRDefault="00893B2F">
      <w:pPr>
        <w:pStyle w:val="BlockNumber"/>
        <w:ind w:left="1587" w:hanging="873"/>
        <w:rPr>
          <w:rFonts w:cs="Arial"/>
          <w:szCs w:val="20"/>
          <w:lang w:val="en-NZ"/>
        </w:rPr>
      </w:pPr>
      <w:r>
        <w:rPr>
          <w:rFonts w:cs="Arial"/>
          <w:szCs w:val="20"/>
          <w:lang w:val="en-NZ"/>
        </w:rPr>
        <w:t>Learner</w:t>
      </w:r>
      <w:r w:rsidR="005B449A" w:rsidRPr="0003653F">
        <w:rPr>
          <w:rFonts w:cs="Arial"/>
          <w:szCs w:val="20"/>
          <w:lang w:val="en-NZ"/>
        </w:rPr>
        <w:t>s shall pay any direct costs (</w:t>
      </w:r>
      <w:proofErr w:type="gramStart"/>
      <w:r w:rsidR="005B449A" w:rsidRPr="0003653F">
        <w:rPr>
          <w:rFonts w:cs="Arial"/>
          <w:szCs w:val="20"/>
          <w:lang w:val="en-NZ"/>
        </w:rPr>
        <w:t>e.g.</w:t>
      </w:r>
      <w:proofErr w:type="gramEnd"/>
      <w:r w:rsidR="005B449A" w:rsidRPr="0003653F">
        <w:rPr>
          <w:rFonts w:cs="Arial"/>
          <w:szCs w:val="20"/>
          <w:lang w:val="en-NZ"/>
        </w:rPr>
        <w:t xml:space="preserve"> equipment, uniform, books) incurred by</w:t>
      </w:r>
      <w:r w:rsidR="004B0C10">
        <w:rPr>
          <w:rFonts w:cs="Arial"/>
          <w:szCs w:val="20"/>
          <w:lang w:val="en-NZ"/>
        </w:rPr>
        <w:t xml:space="preserve"> </w:t>
      </w:r>
      <w:r>
        <w:rPr>
          <w:rFonts w:cs="Arial"/>
          <w:szCs w:val="20"/>
          <w:lang w:val="en-NZ"/>
        </w:rPr>
        <w:t>ATNZ</w:t>
      </w:r>
      <w:r w:rsidR="00EB0376">
        <w:rPr>
          <w:rFonts w:cs="Arial"/>
          <w:szCs w:val="20"/>
          <w:lang w:val="en-NZ"/>
        </w:rPr>
        <w:t xml:space="preserve"> </w:t>
      </w:r>
      <w:r w:rsidR="004B0C10">
        <w:rPr>
          <w:rFonts w:cs="Arial"/>
          <w:szCs w:val="20"/>
          <w:lang w:val="en-NZ"/>
        </w:rPr>
        <w:t>a</w:t>
      </w:r>
      <w:r w:rsidR="002A7E62" w:rsidRPr="0003653F">
        <w:rPr>
          <w:rFonts w:cs="Arial"/>
          <w:szCs w:val="20"/>
          <w:lang w:val="en-NZ"/>
        </w:rPr>
        <w:t>s a result of the transfer</w:t>
      </w:r>
      <w:r w:rsidR="005B449A" w:rsidRPr="0003653F">
        <w:rPr>
          <w:rFonts w:cs="Arial"/>
          <w:szCs w:val="20"/>
          <w:lang w:val="en-NZ"/>
        </w:rPr>
        <w:t>.</w:t>
      </w:r>
    </w:p>
    <w:p w14:paraId="722FAD5B" w14:textId="77777777" w:rsidR="00DB5545" w:rsidRPr="00DB5545" w:rsidRDefault="005B449A" w:rsidP="00AA1D9D">
      <w:pPr>
        <w:pStyle w:val="BlockNumber"/>
        <w:ind w:left="1587" w:hanging="873"/>
        <w:rPr>
          <w:rFonts w:cs="Arial"/>
          <w:szCs w:val="20"/>
        </w:rPr>
      </w:pPr>
      <w:r w:rsidRPr="0003653F">
        <w:rPr>
          <w:rFonts w:cs="Arial"/>
          <w:szCs w:val="20"/>
          <w:lang w:val="en-NZ"/>
        </w:rPr>
        <w:t>No transfer application</w:t>
      </w:r>
      <w:r w:rsidR="00931AC1" w:rsidRPr="0003653F">
        <w:rPr>
          <w:rFonts w:cs="Arial"/>
          <w:szCs w:val="20"/>
          <w:lang w:val="en-NZ"/>
        </w:rPr>
        <w:t>s</w:t>
      </w:r>
      <w:r w:rsidRPr="0003653F">
        <w:rPr>
          <w:rFonts w:cs="Arial"/>
          <w:szCs w:val="20"/>
          <w:lang w:val="en-NZ"/>
        </w:rPr>
        <w:t xml:space="preserve"> will be processed until any outstanding fees have been paid.</w:t>
      </w:r>
    </w:p>
    <w:p w14:paraId="2A1A61E3" w14:textId="77777777" w:rsidR="00736967" w:rsidRPr="00032FAF" w:rsidRDefault="00D72A1B">
      <w:pPr>
        <w:pStyle w:val="Heading2No"/>
        <w:rPr>
          <w:rFonts w:cs="Arial"/>
          <w:szCs w:val="20"/>
          <w:lang w:val="en-NZ"/>
        </w:rPr>
      </w:pPr>
      <w:r w:rsidRPr="00032FAF">
        <w:rPr>
          <w:rFonts w:cs="Arial"/>
          <w:szCs w:val="20"/>
          <w:lang w:val="en-NZ"/>
        </w:rPr>
        <w:lastRenderedPageBreak/>
        <w:t>Transfer to another institution</w:t>
      </w:r>
    </w:p>
    <w:p w14:paraId="512A159C" w14:textId="582CCA51" w:rsidR="00736967" w:rsidRPr="0003653F" w:rsidRDefault="00D72A1B">
      <w:pPr>
        <w:pStyle w:val="BlockNumber"/>
        <w:ind w:left="1587" w:hanging="873"/>
        <w:rPr>
          <w:rFonts w:cs="Arial"/>
          <w:szCs w:val="20"/>
          <w:lang w:val="en-NZ"/>
        </w:rPr>
      </w:pPr>
      <w:r w:rsidRPr="0003653F">
        <w:rPr>
          <w:rFonts w:cs="Arial"/>
          <w:szCs w:val="20"/>
          <w:lang w:val="en-NZ"/>
        </w:rPr>
        <w:t xml:space="preserve">Transferring to another institution is treated as a withdrawal from </w:t>
      </w:r>
      <w:r w:rsidR="00893B2F">
        <w:rPr>
          <w:rFonts w:cs="Arial"/>
          <w:szCs w:val="20"/>
          <w:lang w:val="en-NZ"/>
        </w:rPr>
        <w:t>ATNZ</w:t>
      </w:r>
      <w:r w:rsidRPr="0003653F">
        <w:rPr>
          <w:rFonts w:cs="Arial"/>
          <w:szCs w:val="20"/>
          <w:lang w:val="en-NZ"/>
        </w:rPr>
        <w:t xml:space="preserve"> (</w:t>
      </w:r>
      <w:r w:rsidR="00F03D1A" w:rsidRPr="0003653F">
        <w:rPr>
          <w:rFonts w:cs="Arial"/>
          <w:szCs w:val="20"/>
          <w:lang w:val="en-NZ"/>
        </w:rPr>
        <w:t>see</w:t>
      </w:r>
      <w:r w:rsidR="00C8575C" w:rsidRPr="0003653F">
        <w:rPr>
          <w:rFonts w:cs="Arial"/>
          <w:szCs w:val="20"/>
          <w:lang w:val="en-NZ"/>
        </w:rPr>
        <w:t xml:space="preserve"> </w:t>
      </w:r>
      <w:r w:rsidR="00FF532D" w:rsidRPr="0003653F">
        <w:rPr>
          <w:rFonts w:cs="Arial"/>
          <w:szCs w:val="20"/>
          <w:lang w:val="en-NZ"/>
        </w:rPr>
        <w:t>s</w:t>
      </w:r>
      <w:r w:rsidR="00AD42E9" w:rsidRPr="0003653F">
        <w:rPr>
          <w:rFonts w:cs="Arial"/>
          <w:szCs w:val="20"/>
          <w:lang w:val="en-NZ"/>
        </w:rPr>
        <w:t xml:space="preserve">ection </w:t>
      </w:r>
      <w:r w:rsidRPr="0003653F">
        <w:rPr>
          <w:rFonts w:cs="Arial"/>
          <w:szCs w:val="20"/>
          <w:lang w:val="en-NZ"/>
        </w:rPr>
        <w:t xml:space="preserve">6: </w:t>
      </w:r>
      <w:r w:rsidR="00316679" w:rsidRPr="0003653F">
        <w:rPr>
          <w:rFonts w:cs="Arial"/>
          <w:szCs w:val="20"/>
          <w:lang w:val="en-NZ"/>
        </w:rPr>
        <w:fldChar w:fldCharType="begin"/>
      </w:r>
      <w:r w:rsidRPr="0003653F">
        <w:rPr>
          <w:rFonts w:cs="Arial"/>
          <w:szCs w:val="20"/>
          <w:lang w:val="en-NZ"/>
        </w:rPr>
        <w:instrText xml:space="preserve"> REF _Ref213815752 \h </w:instrText>
      </w:r>
      <w:r w:rsidR="0003653F" w:rsidRPr="0003653F">
        <w:rPr>
          <w:rFonts w:cs="Arial"/>
          <w:szCs w:val="20"/>
          <w:lang w:val="en-NZ"/>
        </w:rPr>
        <w:instrText xml:space="preserve"> \* MERGEFORMAT </w:instrText>
      </w:r>
      <w:r w:rsidR="00316679" w:rsidRPr="0003653F">
        <w:rPr>
          <w:rFonts w:cs="Arial"/>
          <w:szCs w:val="20"/>
          <w:lang w:val="en-NZ"/>
        </w:rPr>
      </w:r>
      <w:r w:rsidR="00316679" w:rsidRPr="0003653F">
        <w:rPr>
          <w:rFonts w:cs="Arial"/>
          <w:szCs w:val="20"/>
          <w:lang w:val="en-NZ"/>
        </w:rPr>
        <w:fldChar w:fldCharType="separate"/>
      </w:r>
      <w:r w:rsidR="00E12AEE" w:rsidRPr="0003653F">
        <w:rPr>
          <w:rFonts w:cs="Arial"/>
          <w:szCs w:val="20"/>
          <w:lang w:val="en-NZ"/>
        </w:rPr>
        <w:t>Withdrawals</w:t>
      </w:r>
      <w:r w:rsidR="00316679" w:rsidRPr="0003653F">
        <w:rPr>
          <w:rFonts w:cs="Arial"/>
          <w:szCs w:val="20"/>
          <w:lang w:val="en-NZ"/>
        </w:rPr>
        <w:fldChar w:fldCharType="end"/>
      </w:r>
      <w:r w:rsidRPr="0003653F">
        <w:rPr>
          <w:rFonts w:cs="Arial"/>
          <w:szCs w:val="20"/>
          <w:lang w:val="en-NZ"/>
        </w:rPr>
        <w:t xml:space="preserve">).  </w:t>
      </w:r>
    </w:p>
    <w:p w14:paraId="568BDAD6" w14:textId="3AC09E6D" w:rsidR="008C270E" w:rsidRPr="00032FAF" w:rsidRDefault="008C270E" w:rsidP="008C270E">
      <w:pPr>
        <w:pStyle w:val="Heading2No"/>
        <w:rPr>
          <w:rFonts w:cs="Arial"/>
          <w:szCs w:val="20"/>
          <w:lang w:val="en-NZ"/>
        </w:rPr>
      </w:pPr>
      <w:r w:rsidRPr="00032FAF">
        <w:rPr>
          <w:rFonts w:cs="Arial"/>
          <w:szCs w:val="20"/>
          <w:lang w:val="en-NZ"/>
        </w:rPr>
        <w:t>Transfers</w:t>
      </w:r>
      <w:r w:rsidR="004B2C61" w:rsidRPr="00032FAF">
        <w:rPr>
          <w:rFonts w:cs="Arial"/>
          <w:szCs w:val="20"/>
          <w:lang w:val="en-NZ"/>
        </w:rPr>
        <w:t xml:space="preserve"> -</w:t>
      </w:r>
      <w:r w:rsidRPr="00032FAF">
        <w:rPr>
          <w:rFonts w:cs="Arial"/>
          <w:szCs w:val="20"/>
          <w:lang w:val="en-NZ"/>
        </w:rPr>
        <w:t xml:space="preserve"> domestic </w:t>
      </w:r>
      <w:r w:rsidR="00893B2F">
        <w:rPr>
          <w:rFonts w:cs="Arial"/>
          <w:szCs w:val="20"/>
          <w:lang w:val="en-NZ"/>
        </w:rPr>
        <w:t>learner</w:t>
      </w:r>
      <w:r w:rsidRPr="00032FAF">
        <w:rPr>
          <w:rFonts w:cs="Arial"/>
          <w:szCs w:val="20"/>
          <w:lang w:val="en-NZ"/>
        </w:rPr>
        <w:t>s</w:t>
      </w:r>
    </w:p>
    <w:p w14:paraId="4E57236D" w14:textId="028250A1" w:rsidR="008C270E" w:rsidRPr="0003653F" w:rsidRDefault="008C270E">
      <w:pPr>
        <w:pStyle w:val="BlockNumber"/>
        <w:ind w:left="1587" w:hanging="873"/>
        <w:rPr>
          <w:rFonts w:cs="Arial"/>
          <w:szCs w:val="20"/>
          <w:lang w:val="en-NZ"/>
        </w:rPr>
      </w:pPr>
      <w:r w:rsidRPr="0003653F">
        <w:rPr>
          <w:rFonts w:cs="Arial"/>
          <w:szCs w:val="20"/>
          <w:lang w:val="en-NZ"/>
        </w:rPr>
        <w:t xml:space="preserve">Domestic </w:t>
      </w:r>
      <w:r w:rsidR="00893B2F">
        <w:rPr>
          <w:rFonts w:cs="Arial"/>
          <w:szCs w:val="20"/>
          <w:lang w:val="en-NZ"/>
        </w:rPr>
        <w:t>learner</w:t>
      </w:r>
      <w:r w:rsidRPr="0003653F">
        <w:rPr>
          <w:rFonts w:cs="Arial"/>
          <w:szCs w:val="20"/>
          <w:lang w:val="en-NZ"/>
        </w:rPr>
        <w:t xml:space="preserve"> fees are not transferable between institutions.</w:t>
      </w:r>
    </w:p>
    <w:p w14:paraId="7F9FA759" w14:textId="77777777" w:rsidR="00501517" w:rsidRDefault="00501517">
      <w:pPr>
        <w:rPr>
          <w:rFonts w:ascii="Arial" w:hAnsi="Arial" w:cs="Arial"/>
          <w:sz w:val="20"/>
          <w:szCs w:val="20"/>
        </w:rPr>
      </w:pPr>
    </w:p>
    <w:p w14:paraId="2AE4056F" w14:textId="77777777" w:rsidR="0044590B" w:rsidRPr="0003653F" w:rsidRDefault="0044590B">
      <w:pPr>
        <w:rPr>
          <w:rFonts w:ascii="Arial" w:eastAsia="Times New Roman" w:hAnsi="Arial" w:cs="Arial"/>
          <w:sz w:val="20"/>
          <w:szCs w:val="20"/>
          <w:lang w:eastAsia="en-US"/>
        </w:rPr>
      </w:pPr>
    </w:p>
    <w:p w14:paraId="08B12FCC" w14:textId="77777777" w:rsidR="00B739FC" w:rsidRPr="00032FAF" w:rsidRDefault="005B449A" w:rsidP="004337B2">
      <w:pPr>
        <w:pStyle w:val="Heading1No"/>
        <w:rPr>
          <w:lang w:val="en-NZ"/>
        </w:rPr>
      </w:pPr>
      <w:bookmarkStart w:id="29" w:name="_Ref213815615"/>
      <w:bookmarkStart w:id="30" w:name="_Toc352741618"/>
      <w:bookmarkStart w:id="31" w:name="_Toc352763804"/>
      <w:bookmarkStart w:id="32" w:name="_Toc105753601"/>
      <w:r w:rsidRPr="004337B2">
        <w:t>Refunding</w:t>
      </w:r>
      <w:r w:rsidRPr="00032FAF">
        <w:rPr>
          <w:lang w:val="en-NZ"/>
        </w:rPr>
        <w:t xml:space="preserve"> Fees</w:t>
      </w:r>
      <w:bookmarkEnd w:id="29"/>
      <w:bookmarkEnd w:id="30"/>
      <w:bookmarkEnd w:id="31"/>
      <w:bookmarkEnd w:id="32"/>
    </w:p>
    <w:p w14:paraId="108348A1" w14:textId="77777777" w:rsidR="002441BF" w:rsidRPr="00032FAF" w:rsidRDefault="005B449A" w:rsidP="002441BF">
      <w:pPr>
        <w:pStyle w:val="Heading2No"/>
        <w:rPr>
          <w:rFonts w:cs="Arial"/>
          <w:szCs w:val="20"/>
          <w:lang w:val="en-NZ"/>
        </w:rPr>
      </w:pPr>
      <w:r w:rsidRPr="00032FAF">
        <w:rPr>
          <w:rFonts w:cs="Arial"/>
          <w:szCs w:val="20"/>
          <w:lang w:val="en-NZ"/>
        </w:rPr>
        <w:t>General provisions</w:t>
      </w:r>
    </w:p>
    <w:p w14:paraId="1785FFB7" w14:textId="15078B87" w:rsidR="00736967" w:rsidRPr="0003653F" w:rsidRDefault="005B449A">
      <w:pPr>
        <w:pStyle w:val="BlockNumber"/>
        <w:ind w:left="1587" w:hanging="873"/>
        <w:rPr>
          <w:rFonts w:cs="Arial"/>
          <w:szCs w:val="20"/>
          <w:lang w:val="en-NZ"/>
        </w:rPr>
      </w:pPr>
      <w:r w:rsidRPr="0003653F">
        <w:rPr>
          <w:rFonts w:cs="Arial"/>
          <w:szCs w:val="20"/>
          <w:lang w:val="en-NZ"/>
        </w:rPr>
        <w:t xml:space="preserve">Refunds shall be calculated from the date a </w:t>
      </w:r>
      <w:r w:rsidRPr="0003653F">
        <w:rPr>
          <w:rFonts w:cs="Arial"/>
          <w:i/>
          <w:szCs w:val="20"/>
          <w:lang w:val="en-NZ"/>
        </w:rPr>
        <w:t>Withdrawal</w:t>
      </w:r>
      <w:r w:rsidRPr="0003653F">
        <w:rPr>
          <w:rFonts w:cs="Arial"/>
          <w:szCs w:val="20"/>
          <w:lang w:val="en-NZ"/>
        </w:rPr>
        <w:t xml:space="preserve"> </w:t>
      </w:r>
      <w:r w:rsidR="006A1041" w:rsidRPr="0003653F">
        <w:rPr>
          <w:rFonts w:cs="Arial"/>
          <w:szCs w:val="20"/>
          <w:lang w:val="en-NZ"/>
        </w:rPr>
        <w:t>f</w:t>
      </w:r>
      <w:r w:rsidRPr="0003653F">
        <w:rPr>
          <w:rFonts w:cs="Arial"/>
          <w:szCs w:val="20"/>
          <w:lang w:val="en-NZ"/>
        </w:rPr>
        <w:t>orm</w:t>
      </w:r>
      <w:r w:rsidRPr="0003653F">
        <w:rPr>
          <w:rFonts w:cs="Arial"/>
          <w:szCs w:val="20"/>
          <w:vertAlign w:val="superscript"/>
        </w:rPr>
        <w:footnoteReference w:id="6"/>
      </w:r>
      <w:r w:rsidRPr="0003653F">
        <w:rPr>
          <w:rFonts w:cs="Arial"/>
          <w:szCs w:val="20"/>
          <w:lang w:val="en-NZ"/>
        </w:rPr>
        <w:t xml:space="preserve"> is received by </w:t>
      </w:r>
      <w:r w:rsidR="00893B2F">
        <w:rPr>
          <w:rFonts w:cs="Arial"/>
          <w:szCs w:val="20"/>
          <w:lang w:val="en-NZ"/>
        </w:rPr>
        <w:t>ATNZ</w:t>
      </w:r>
      <w:r w:rsidRPr="0003653F">
        <w:rPr>
          <w:rFonts w:cs="Arial"/>
          <w:szCs w:val="20"/>
          <w:lang w:val="en-NZ"/>
        </w:rPr>
        <w:t xml:space="preserve">.  </w:t>
      </w:r>
    </w:p>
    <w:p w14:paraId="10A5C4DD" w14:textId="464152FE" w:rsidR="007A7F83" w:rsidRDefault="00FC37A2">
      <w:pPr>
        <w:pStyle w:val="BlockNumber"/>
        <w:ind w:left="1587" w:hanging="873"/>
        <w:rPr>
          <w:rFonts w:cs="Arial"/>
          <w:szCs w:val="20"/>
          <w:lang w:val="en-NZ"/>
        </w:rPr>
      </w:pPr>
      <w:r w:rsidRPr="0003653F">
        <w:rPr>
          <w:rFonts w:cs="Arial"/>
          <w:szCs w:val="20"/>
          <w:lang w:val="en-NZ"/>
        </w:rPr>
        <w:t xml:space="preserve">Where </w:t>
      </w:r>
      <w:r w:rsidR="00893B2F">
        <w:rPr>
          <w:rFonts w:cs="Arial"/>
          <w:szCs w:val="20"/>
          <w:lang w:val="en-NZ"/>
        </w:rPr>
        <w:t>ATNZ</w:t>
      </w:r>
      <w:r w:rsidR="005B449A" w:rsidRPr="0003653F">
        <w:rPr>
          <w:rFonts w:cs="Arial"/>
          <w:szCs w:val="20"/>
          <w:lang w:val="en-NZ"/>
        </w:rPr>
        <w:t xml:space="preserve"> cancels or postpones a </w:t>
      </w:r>
      <w:r w:rsidR="003833AA">
        <w:rPr>
          <w:rFonts w:cs="Arial"/>
          <w:szCs w:val="20"/>
          <w:lang w:val="en-NZ"/>
        </w:rPr>
        <w:t>programme</w:t>
      </w:r>
      <w:r w:rsidR="006C639C">
        <w:rPr>
          <w:rFonts w:cs="Arial"/>
          <w:szCs w:val="20"/>
          <w:lang w:val="en-NZ"/>
        </w:rPr>
        <w:t xml:space="preserve">, </w:t>
      </w:r>
      <w:proofErr w:type="spellStart"/>
      <w:r w:rsidR="006C639C">
        <w:rPr>
          <w:rFonts w:cs="Arial"/>
          <w:szCs w:val="20"/>
          <w:lang w:val="en-NZ"/>
        </w:rPr>
        <w:t>microcredential</w:t>
      </w:r>
      <w:proofErr w:type="spellEnd"/>
      <w:r w:rsidR="003833AA">
        <w:rPr>
          <w:rFonts w:cs="Arial"/>
          <w:szCs w:val="20"/>
          <w:lang w:val="en-NZ"/>
        </w:rPr>
        <w:t xml:space="preserve"> or </w:t>
      </w:r>
      <w:r w:rsidR="005B449A" w:rsidRPr="0003653F">
        <w:rPr>
          <w:rFonts w:cs="Arial"/>
          <w:szCs w:val="20"/>
          <w:lang w:val="en-NZ"/>
        </w:rPr>
        <w:t>course</w:t>
      </w:r>
      <w:r w:rsidR="008B6582" w:rsidRPr="0003653F">
        <w:rPr>
          <w:rFonts w:cs="Arial"/>
          <w:szCs w:val="20"/>
          <w:lang w:val="en-NZ"/>
        </w:rPr>
        <w:t>,</w:t>
      </w:r>
      <w:r w:rsidR="005B449A" w:rsidRPr="0003653F">
        <w:rPr>
          <w:rFonts w:cs="Arial"/>
          <w:szCs w:val="20"/>
          <w:lang w:val="en-NZ"/>
        </w:rPr>
        <w:t xml:space="preserve"> all fees </w:t>
      </w:r>
      <w:r w:rsidR="004813F9" w:rsidRPr="0003653F">
        <w:rPr>
          <w:rFonts w:cs="Arial"/>
          <w:szCs w:val="20"/>
          <w:lang w:val="en-NZ"/>
        </w:rPr>
        <w:t>shall</w:t>
      </w:r>
      <w:r w:rsidR="005B449A" w:rsidRPr="0003653F">
        <w:rPr>
          <w:rFonts w:cs="Arial"/>
          <w:szCs w:val="20"/>
          <w:lang w:val="en-NZ"/>
        </w:rPr>
        <w:t xml:space="preserve"> be refunded in full or credited to another </w:t>
      </w:r>
      <w:r w:rsidR="00D553DF">
        <w:rPr>
          <w:rFonts w:cs="Arial"/>
          <w:szCs w:val="20"/>
          <w:lang w:val="en-NZ"/>
        </w:rPr>
        <w:t xml:space="preserve">programme or </w:t>
      </w:r>
      <w:r w:rsidR="005B449A" w:rsidRPr="0003653F">
        <w:rPr>
          <w:rFonts w:cs="Arial"/>
          <w:szCs w:val="20"/>
          <w:lang w:val="en-NZ"/>
        </w:rPr>
        <w:t xml:space="preserve">course, at the </w:t>
      </w:r>
      <w:r w:rsidR="00893B2F">
        <w:rPr>
          <w:rFonts w:cs="Arial"/>
          <w:szCs w:val="20"/>
          <w:lang w:val="en-NZ"/>
        </w:rPr>
        <w:t>learner</w:t>
      </w:r>
      <w:r w:rsidR="002F764A" w:rsidRPr="0003653F">
        <w:rPr>
          <w:rFonts w:cs="Arial"/>
          <w:szCs w:val="20"/>
          <w:lang w:val="en-NZ"/>
        </w:rPr>
        <w:t xml:space="preserve">’s </w:t>
      </w:r>
      <w:r w:rsidR="005B449A" w:rsidRPr="0003653F">
        <w:rPr>
          <w:rFonts w:cs="Arial"/>
          <w:szCs w:val="20"/>
          <w:lang w:val="en-NZ"/>
        </w:rPr>
        <w:t>discretion.</w:t>
      </w:r>
      <w:r w:rsidR="00786277">
        <w:rPr>
          <w:rFonts w:cs="Arial"/>
          <w:szCs w:val="20"/>
          <w:lang w:val="en-NZ"/>
        </w:rPr>
        <w:t xml:space="preserve"> </w:t>
      </w:r>
    </w:p>
    <w:p w14:paraId="0AAFBDF1" w14:textId="49CBA2E8" w:rsidR="00736967" w:rsidRPr="0003653F" w:rsidRDefault="00275812">
      <w:pPr>
        <w:pStyle w:val="BlockNumber"/>
        <w:ind w:left="1587" w:hanging="873"/>
        <w:rPr>
          <w:rFonts w:cs="Arial"/>
          <w:szCs w:val="20"/>
          <w:lang w:val="en-NZ"/>
        </w:rPr>
      </w:pPr>
      <w:r>
        <w:rPr>
          <w:rFonts w:cs="Arial"/>
          <w:szCs w:val="20"/>
          <w:lang w:val="en-NZ"/>
        </w:rPr>
        <w:t xml:space="preserve">In the unlikely event that ATNZ </w:t>
      </w:r>
      <w:r w:rsidR="00CD0C4D">
        <w:rPr>
          <w:rFonts w:cs="Arial"/>
          <w:szCs w:val="20"/>
          <w:lang w:val="en-NZ"/>
        </w:rPr>
        <w:t xml:space="preserve">voluntarily </w:t>
      </w:r>
      <w:r>
        <w:rPr>
          <w:rFonts w:cs="Arial"/>
          <w:szCs w:val="20"/>
          <w:lang w:val="en-NZ"/>
        </w:rPr>
        <w:t>closes</w:t>
      </w:r>
      <w:r w:rsidR="005E3CD0">
        <w:rPr>
          <w:rFonts w:cs="Arial"/>
          <w:szCs w:val="20"/>
          <w:lang w:val="en-NZ"/>
        </w:rPr>
        <w:t xml:space="preserve"> during any period of enrolment, ATNZ will make every effort to enable learners to complete their </w:t>
      </w:r>
      <w:r w:rsidR="00D93AEE">
        <w:rPr>
          <w:rFonts w:cs="Arial"/>
          <w:szCs w:val="20"/>
          <w:lang w:val="en-NZ"/>
        </w:rPr>
        <w:t>course</w:t>
      </w:r>
      <w:r w:rsidR="006C639C">
        <w:rPr>
          <w:rFonts w:cs="Arial"/>
          <w:szCs w:val="20"/>
          <w:lang w:val="en-NZ"/>
        </w:rPr>
        <w:t xml:space="preserve">, </w:t>
      </w:r>
      <w:proofErr w:type="spellStart"/>
      <w:r w:rsidR="006C639C">
        <w:rPr>
          <w:rFonts w:cs="Arial"/>
          <w:szCs w:val="20"/>
          <w:lang w:val="en-NZ"/>
        </w:rPr>
        <w:t>microcredential</w:t>
      </w:r>
      <w:proofErr w:type="spellEnd"/>
      <w:r w:rsidR="00D93AEE">
        <w:rPr>
          <w:rFonts w:cs="Arial"/>
          <w:szCs w:val="20"/>
          <w:lang w:val="en-NZ"/>
        </w:rPr>
        <w:t xml:space="preserve"> or programme with another provider</w:t>
      </w:r>
      <w:r w:rsidR="00FC046B">
        <w:rPr>
          <w:rFonts w:cs="Arial"/>
          <w:szCs w:val="20"/>
          <w:lang w:val="en-NZ"/>
        </w:rPr>
        <w:t xml:space="preserve"> and/or refund all fees under the </w:t>
      </w:r>
      <w:r w:rsidR="00F763FF">
        <w:rPr>
          <w:rFonts w:cs="Arial"/>
          <w:szCs w:val="20"/>
          <w:lang w:val="en-NZ"/>
        </w:rPr>
        <w:t xml:space="preserve">provisions of </w:t>
      </w:r>
      <w:r w:rsidR="007A7F83">
        <w:rPr>
          <w:rFonts w:cs="Arial"/>
          <w:szCs w:val="20"/>
          <w:lang w:val="en-NZ"/>
        </w:rPr>
        <w:t>8</w:t>
      </w:r>
      <w:r w:rsidR="00F763FF">
        <w:rPr>
          <w:rFonts w:cs="Arial"/>
          <w:szCs w:val="20"/>
          <w:lang w:val="en-NZ"/>
        </w:rPr>
        <w:t xml:space="preserve">.1.3 </w:t>
      </w:r>
      <w:r w:rsidR="00FC046B">
        <w:rPr>
          <w:rFonts w:cs="Arial"/>
          <w:szCs w:val="20"/>
          <w:lang w:val="en-NZ"/>
        </w:rPr>
        <w:t xml:space="preserve">at the learner’s discretion. </w:t>
      </w:r>
    </w:p>
    <w:p w14:paraId="13166B58" w14:textId="7ED283D3" w:rsidR="00736967" w:rsidRPr="0003653F" w:rsidRDefault="00893B2F">
      <w:pPr>
        <w:pStyle w:val="BlockNumber"/>
        <w:ind w:left="1587" w:hanging="873"/>
        <w:rPr>
          <w:rFonts w:cs="Arial"/>
          <w:szCs w:val="20"/>
          <w:lang w:val="en-NZ"/>
        </w:rPr>
      </w:pPr>
      <w:r>
        <w:rPr>
          <w:rFonts w:cs="Arial"/>
          <w:szCs w:val="20"/>
          <w:lang w:val="en-NZ"/>
        </w:rPr>
        <w:t>Learner</w:t>
      </w:r>
      <w:r w:rsidR="005B449A" w:rsidRPr="0003653F">
        <w:rPr>
          <w:rFonts w:cs="Arial"/>
          <w:szCs w:val="20"/>
          <w:lang w:val="en-NZ"/>
        </w:rPr>
        <w:t xml:space="preserve">s who withdraw from or cease attending a course before fees are paid shall be responsible for </w:t>
      </w:r>
      <w:r w:rsidR="00EF096C" w:rsidRPr="0003653F">
        <w:rPr>
          <w:rFonts w:cs="Arial"/>
          <w:szCs w:val="20"/>
          <w:lang w:val="en-NZ"/>
        </w:rPr>
        <w:t xml:space="preserve">the </w:t>
      </w:r>
      <w:r w:rsidR="005B449A" w:rsidRPr="0003653F">
        <w:rPr>
          <w:rFonts w:cs="Arial"/>
          <w:szCs w:val="20"/>
          <w:lang w:val="en-NZ"/>
        </w:rPr>
        <w:t>payment of outstanding fees as notified.</w:t>
      </w:r>
    </w:p>
    <w:p w14:paraId="2AE174CD" w14:textId="2425B96E" w:rsidR="00736967" w:rsidRPr="0003653F" w:rsidRDefault="002A7E62">
      <w:pPr>
        <w:pStyle w:val="BlockNumber"/>
        <w:ind w:left="1587" w:hanging="873"/>
        <w:rPr>
          <w:rFonts w:cs="Arial"/>
          <w:szCs w:val="20"/>
          <w:lang w:val="en-NZ"/>
        </w:rPr>
      </w:pPr>
      <w:r w:rsidRPr="0003653F">
        <w:rPr>
          <w:rFonts w:cs="Arial"/>
          <w:szCs w:val="20"/>
          <w:lang w:val="en-NZ"/>
        </w:rPr>
        <w:t xml:space="preserve">Where </w:t>
      </w:r>
      <w:r w:rsidR="00893B2F">
        <w:rPr>
          <w:rFonts w:cs="Arial"/>
          <w:szCs w:val="20"/>
          <w:lang w:val="en-NZ"/>
        </w:rPr>
        <w:t>learner</w:t>
      </w:r>
      <w:r w:rsidR="005B449A" w:rsidRPr="0003653F">
        <w:rPr>
          <w:rFonts w:cs="Arial"/>
          <w:szCs w:val="20"/>
          <w:lang w:val="en-NZ"/>
        </w:rPr>
        <w:t xml:space="preserve">s owe other fees to </w:t>
      </w:r>
      <w:r w:rsidR="00893B2F">
        <w:rPr>
          <w:rFonts w:cs="Arial"/>
          <w:szCs w:val="20"/>
          <w:lang w:val="en-NZ"/>
        </w:rPr>
        <w:t>ATNZ</w:t>
      </w:r>
      <w:r w:rsidR="005B449A" w:rsidRPr="0003653F">
        <w:rPr>
          <w:rFonts w:cs="Arial"/>
          <w:szCs w:val="20"/>
          <w:lang w:val="en-NZ"/>
        </w:rPr>
        <w:t xml:space="preserve">, those fees </w:t>
      </w:r>
      <w:r w:rsidR="004813F9" w:rsidRPr="0003653F">
        <w:rPr>
          <w:rFonts w:cs="Arial"/>
          <w:szCs w:val="20"/>
          <w:lang w:val="en-NZ"/>
        </w:rPr>
        <w:t>shall</w:t>
      </w:r>
      <w:r w:rsidR="005B449A" w:rsidRPr="0003653F">
        <w:rPr>
          <w:rFonts w:cs="Arial"/>
          <w:szCs w:val="20"/>
          <w:lang w:val="en-NZ"/>
        </w:rPr>
        <w:t xml:space="preserve"> be deducted from any refund.</w:t>
      </w:r>
    </w:p>
    <w:p w14:paraId="264AADFF" w14:textId="6327176B" w:rsidR="00391F20" w:rsidRPr="0003653F" w:rsidRDefault="00391F20" w:rsidP="00391F20">
      <w:pPr>
        <w:pStyle w:val="BlockNumber"/>
        <w:ind w:left="1587" w:hanging="873"/>
        <w:rPr>
          <w:rFonts w:cs="Arial"/>
          <w:szCs w:val="20"/>
        </w:rPr>
      </w:pPr>
      <w:r w:rsidRPr="0003653F">
        <w:rPr>
          <w:rFonts w:cs="Arial"/>
          <w:szCs w:val="20"/>
        </w:rPr>
        <w:t xml:space="preserve">Where it is known that </w:t>
      </w:r>
      <w:r w:rsidR="00893B2F">
        <w:rPr>
          <w:rFonts w:cs="Arial"/>
          <w:szCs w:val="20"/>
        </w:rPr>
        <w:t>learner</w:t>
      </w:r>
      <w:r w:rsidRPr="0003653F">
        <w:rPr>
          <w:rFonts w:cs="Arial"/>
          <w:szCs w:val="20"/>
        </w:rPr>
        <w:t xml:space="preserve"> fees have been paid by </w:t>
      </w:r>
      <w:r w:rsidRPr="0003653F">
        <w:rPr>
          <w:rFonts w:cs="Arial"/>
          <w:szCs w:val="20"/>
          <w:lang w:val="en-NZ"/>
        </w:rPr>
        <w:t xml:space="preserve">a recognised </w:t>
      </w:r>
      <w:r w:rsidRPr="0003653F">
        <w:rPr>
          <w:rFonts w:cs="Arial"/>
          <w:szCs w:val="20"/>
        </w:rPr>
        <w:t>third-party</w:t>
      </w:r>
      <w:r w:rsidR="00D452F4" w:rsidRPr="0003653F">
        <w:rPr>
          <w:rFonts w:cs="Arial"/>
          <w:szCs w:val="20"/>
        </w:rPr>
        <w:t xml:space="preserve"> (including by </w:t>
      </w:r>
      <w:r w:rsidR="00DC7BC6">
        <w:rPr>
          <w:rFonts w:cs="Arial"/>
          <w:szCs w:val="20"/>
        </w:rPr>
        <w:t>Student L</w:t>
      </w:r>
      <w:r w:rsidR="00D452F4" w:rsidRPr="0003653F">
        <w:rPr>
          <w:rFonts w:cs="Arial"/>
          <w:szCs w:val="20"/>
        </w:rPr>
        <w:t>oan)</w:t>
      </w:r>
      <w:r w:rsidRPr="0003653F">
        <w:rPr>
          <w:rFonts w:cs="Arial"/>
          <w:szCs w:val="20"/>
        </w:rPr>
        <w:t xml:space="preserve">, any refund shall be paid back to that third-party and not to the </w:t>
      </w:r>
      <w:r w:rsidR="00893B2F">
        <w:rPr>
          <w:rFonts w:cs="Arial"/>
          <w:szCs w:val="20"/>
        </w:rPr>
        <w:t>learner</w:t>
      </w:r>
      <w:r w:rsidRPr="0003653F">
        <w:rPr>
          <w:rFonts w:cs="Arial"/>
          <w:szCs w:val="20"/>
        </w:rPr>
        <w:t xml:space="preserve">, unless the </w:t>
      </w:r>
      <w:r w:rsidR="00893B2F">
        <w:rPr>
          <w:rFonts w:cs="Arial"/>
          <w:szCs w:val="20"/>
        </w:rPr>
        <w:t>learner</w:t>
      </w:r>
      <w:r w:rsidRPr="0003653F">
        <w:rPr>
          <w:rFonts w:cs="Arial"/>
          <w:szCs w:val="20"/>
        </w:rPr>
        <w:t xml:space="preserve"> produces a written authority from the third-party </w:t>
      </w:r>
      <w:r w:rsidRPr="0003653F">
        <w:rPr>
          <w:rFonts w:cs="Arial"/>
          <w:szCs w:val="20"/>
          <w:lang w:val="en-NZ"/>
        </w:rPr>
        <w:t xml:space="preserve">authorising </w:t>
      </w:r>
      <w:r w:rsidRPr="0003653F">
        <w:rPr>
          <w:rFonts w:cs="Arial"/>
          <w:szCs w:val="20"/>
        </w:rPr>
        <w:t>payment directly to them.</w:t>
      </w:r>
    </w:p>
    <w:p w14:paraId="1A01DB18" w14:textId="42036D19" w:rsidR="00391F20" w:rsidRPr="0003653F" w:rsidRDefault="00391F20" w:rsidP="001D7849">
      <w:pPr>
        <w:pStyle w:val="BlockNumber"/>
        <w:ind w:left="1587" w:hanging="873"/>
        <w:rPr>
          <w:rStyle w:val="apple-converted-space"/>
          <w:rFonts w:cs="Arial"/>
          <w:szCs w:val="20"/>
        </w:rPr>
      </w:pPr>
      <w:r w:rsidRPr="0003653F">
        <w:rPr>
          <w:rFonts w:cs="Arial"/>
          <w:color w:val="000000"/>
          <w:szCs w:val="20"/>
          <w:shd w:val="clear" w:color="auto" w:fill="FFFFFF"/>
        </w:rPr>
        <w:t>Refunds are paid directly into a bank account.</w:t>
      </w:r>
      <w:r w:rsidRPr="0003653F">
        <w:rPr>
          <w:rStyle w:val="apple-converted-space"/>
          <w:rFonts w:cs="Arial"/>
          <w:color w:val="000000"/>
          <w:szCs w:val="20"/>
          <w:shd w:val="clear" w:color="auto" w:fill="FFFFFF"/>
        </w:rPr>
        <w:t>   Printed confirmation of the bank account details (</w:t>
      </w:r>
      <w:proofErr w:type="gramStart"/>
      <w:r w:rsidRPr="0003653F">
        <w:rPr>
          <w:rStyle w:val="apple-converted-space"/>
          <w:rFonts w:cs="Arial"/>
          <w:color w:val="000000"/>
          <w:szCs w:val="20"/>
          <w:shd w:val="clear" w:color="auto" w:fill="FFFFFF"/>
        </w:rPr>
        <w:t>e.g.</w:t>
      </w:r>
      <w:proofErr w:type="gramEnd"/>
      <w:r w:rsidRPr="0003653F">
        <w:rPr>
          <w:rStyle w:val="apple-converted-space"/>
          <w:rFonts w:cs="Arial"/>
          <w:color w:val="000000"/>
          <w:szCs w:val="20"/>
          <w:shd w:val="clear" w:color="auto" w:fill="FFFFFF"/>
        </w:rPr>
        <w:t xml:space="preserve"> a </w:t>
      </w:r>
      <w:r w:rsidR="00DC7BC6">
        <w:rPr>
          <w:rStyle w:val="apple-converted-space"/>
          <w:rFonts w:cs="Arial"/>
          <w:color w:val="000000"/>
          <w:szCs w:val="20"/>
          <w:shd w:val="clear" w:color="auto" w:fill="FFFFFF"/>
        </w:rPr>
        <w:t xml:space="preserve">screen shot of the account detail, </w:t>
      </w:r>
      <w:r w:rsidRPr="0003653F">
        <w:rPr>
          <w:rStyle w:val="apple-converted-space"/>
          <w:rFonts w:cs="Arial"/>
          <w:color w:val="000000"/>
          <w:szCs w:val="20"/>
          <w:shd w:val="clear" w:color="auto" w:fill="FFFFFF"/>
        </w:rPr>
        <w:t xml:space="preserve">bank statement or similar) </w:t>
      </w:r>
      <w:r w:rsidR="00026C21" w:rsidRPr="0003653F">
        <w:rPr>
          <w:rStyle w:val="apple-converted-space"/>
          <w:rFonts w:cs="Arial"/>
          <w:color w:val="000000"/>
          <w:szCs w:val="20"/>
          <w:shd w:val="clear" w:color="auto" w:fill="FFFFFF"/>
        </w:rPr>
        <w:t xml:space="preserve">into which the refund is to be paid </w:t>
      </w:r>
      <w:r w:rsidRPr="0003653F">
        <w:rPr>
          <w:rStyle w:val="apple-converted-space"/>
          <w:rFonts w:cs="Arial"/>
          <w:color w:val="000000"/>
          <w:szCs w:val="20"/>
          <w:shd w:val="clear" w:color="auto" w:fill="FFFFFF"/>
        </w:rPr>
        <w:t>is required before any refund will be made.</w:t>
      </w:r>
    </w:p>
    <w:p w14:paraId="09EA84A9" w14:textId="5C835C43" w:rsidR="00736967" w:rsidRPr="0003653F" w:rsidRDefault="00893B2F">
      <w:pPr>
        <w:pStyle w:val="BlockNumber"/>
        <w:ind w:left="1587" w:hanging="873"/>
        <w:rPr>
          <w:rFonts w:cs="Arial"/>
          <w:szCs w:val="20"/>
          <w:lang w:val="en-NZ"/>
        </w:rPr>
      </w:pPr>
      <w:r>
        <w:rPr>
          <w:rFonts w:cs="Arial"/>
          <w:szCs w:val="20"/>
          <w:lang w:val="en-NZ"/>
        </w:rPr>
        <w:t>Learner</w:t>
      </w:r>
      <w:r w:rsidR="005B449A" w:rsidRPr="0003653F">
        <w:rPr>
          <w:rFonts w:cs="Arial"/>
          <w:szCs w:val="20"/>
          <w:lang w:val="en-NZ"/>
        </w:rPr>
        <w:t xml:space="preserve">s whose enrolment is cancelled following </w:t>
      </w:r>
      <w:r w:rsidR="00C52C7F" w:rsidRPr="0003653F">
        <w:rPr>
          <w:rFonts w:cs="Arial"/>
          <w:szCs w:val="20"/>
          <w:lang w:val="en-NZ"/>
        </w:rPr>
        <w:t>misconduct</w:t>
      </w:r>
      <w:r w:rsidR="005B449A" w:rsidRPr="0003653F">
        <w:rPr>
          <w:rFonts w:cs="Arial"/>
          <w:szCs w:val="20"/>
          <w:lang w:val="en-NZ"/>
        </w:rPr>
        <w:t xml:space="preserve"> are not entitled to a refund of fees</w:t>
      </w:r>
      <w:r w:rsidR="00C52C7F" w:rsidRPr="0003653F">
        <w:rPr>
          <w:rFonts w:cs="Arial"/>
          <w:szCs w:val="20"/>
          <w:lang w:val="en-NZ"/>
        </w:rPr>
        <w:t xml:space="preserve"> (see section 1</w:t>
      </w:r>
      <w:r w:rsidR="007319D4">
        <w:rPr>
          <w:rFonts w:cs="Arial"/>
          <w:szCs w:val="20"/>
          <w:lang w:val="en-NZ"/>
        </w:rPr>
        <w:t>3</w:t>
      </w:r>
      <w:r w:rsidR="00C52C7F" w:rsidRPr="0003653F">
        <w:rPr>
          <w:rFonts w:cs="Arial"/>
          <w:szCs w:val="20"/>
          <w:lang w:val="en-NZ"/>
        </w:rPr>
        <w:t>: Misconduct)</w:t>
      </w:r>
      <w:r w:rsidR="005B449A" w:rsidRPr="0003653F">
        <w:rPr>
          <w:rFonts w:cs="Arial"/>
          <w:szCs w:val="20"/>
          <w:lang w:val="en-NZ"/>
        </w:rPr>
        <w:t>.</w:t>
      </w:r>
    </w:p>
    <w:p w14:paraId="04EFF40E" w14:textId="7071A278" w:rsidR="008B3820" w:rsidRPr="0003653F" w:rsidRDefault="008B3820" w:rsidP="008B3820">
      <w:pPr>
        <w:pStyle w:val="BlockNumber"/>
        <w:ind w:left="1587" w:hanging="873"/>
        <w:rPr>
          <w:rFonts w:cs="Arial"/>
          <w:szCs w:val="20"/>
          <w:lang w:val="en-NZ"/>
        </w:rPr>
      </w:pPr>
      <w:r w:rsidRPr="0003653F">
        <w:rPr>
          <w:rFonts w:cs="Arial"/>
          <w:szCs w:val="20"/>
          <w:lang w:val="en-NZ"/>
        </w:rPr>
        <w:t xml:space="preserve">External examination fees </w:t>
      </w:r>
      <w:r w:rsidR="004813F9" w:rsidRPr="0003653F">
        <w:rPr>
          <w:rFonts w:cs="Arial"/>
          <w:szCs w:val="20"/>
          <w:lang w:val="en-NZ"/>
        </w:rPr>
        <w:t>shall</w:t>
      </w:r>
      <w:r w:rsidRPr="0003653F">
        <w:rPr>
          <w:rFonts w:cs="Arial"/>
          <w:szCs w:val="20"/>
          <w:lang w:val="en-NZ"/>
        </w:rPr>
        <w:t xml:space="preserve"> be refunded, less an administration charge, provided </w:t>
      </w:r>
      <w:r w:rsidR="00893B2F">
        <w:rPr>
          <w:rFonts w:cs="Arial"/>
          <w:szCs w:val="20"/>
          <w:lang w:val="en-NZ"/>
        </w:rPr>
        <w:t>learner</w:t>
      </w:r>
      <w:r w:rsidRPr="0003653F">
        <w:rPr>
          <w:rFonts w:cs="Arial"/>
          <w:szCs w:val="20"/>
          <w:lang w:val="en-NZ"/>
        </w:rPr>
        <w:t xml:space="preserve">s advise </w:t>
      </w:r>
      <w:r w:rsidR="00893B2F">
        <w:rPr>
          <w:rFonts w:cs="Arial"/>
          <w:szCs w:val="20"/>
          <w:lang w:val="en-NZ"/>
        </w:rPr>
        <w:t>ATNZ</w:t>
      </w:r>
      <w:r w:rsidRPr="0003653F">
        <w:rPr>
          <w:rFonts w:cs="Arial"/>
          <w:szCs w:val="20"/>
          <w:lang w:val="en-NZ"/>
        </w:rPr>
        <w:t xml:space="preserve"> of their withdrawal before the </w:t>
      </w:r>
      <w:r w:rsidR="001846CD" w:rsidRPr="0003653F">
        <w:rPr>
          <w:rFonts w:cs="Arial"/>
          <w:szCs w:val="20"/>
          <w:lang w:val="en-NZ"/>
        </w:rPr>
        <w:t>cut-off</w:t>
      </w:r>
      <w:r w:rsidRPr="0003653F">
        <w:rPr>
          <w:rFonts w:cs="Arial"/>
          <w:szCs w:val="20"/>
          <w:lang w:val="en-NZ"/>
        </w:rPr>
        <w:t xml:space="preserve"> date set by </w:t>
      </w:r>
      <w:r w:rsidR="00893B2F">
        <w:rPr>
          <w:rFonts w:cs="Arial"/>
          <w:szCs w:val="20"/>
          <w:lang w:val="en-NZ"/>
        </w:rPr>
        <w:t>ATNZ</w:t>
      </w:r>
      <w:r w:rsidRPr="0003653F">
        <w:rPr>
          <w:rFonts w:cs="Arial"/>
          <w:szCs w:val="20"/>
          <w:lang w:val="en-NZ"/>
        </w:rPr>
        <w:t xml:space="preserve"> each year. </w:t>
      </w:r>
      <w:r w:rsidR="002A7E62" w:rsidRPr="0003653F">
        <w:rPr>
          <w:rFonts w:cs="Arial"/>
          <w:szCs w:val="20"/>
          <w:lang w:val="en-NZ"/>
        </w:rPr>
        <w:t xml:space="preserve"> Where </w:t>
      </w:r>
      <w:r w:rsidRPr="0003653F">
        <w:rPr>
          <w:rFonts w:cs="Arial"/>
          <w:szCs w:val="20"/>
          <w:lang w:val="en-NZ"/>
        </w:rPr>
        <w:t>fees have been sent to the examining body</w:t>
      </w:r>
      <w:r w:rsidR="00EC178A" w:rsidRPr="0003653F">
        <w:rPr>
          <w:rFonts w:cs="Arial"/>
          <w:szCs w:val="20"/>
          <w:lang w:val="en-NZ"/>
        </w:rPr>
        <w:t>,</w:t>
      </w:r>
      <w:r w:rsidRPr="0003653F">
        <w:rPr>
          <w:rFonts w:cs="Arial"/>
          <w:szCs w:val="20"/>
          <w:lang w:val="en-NZ"/>
        </w:rPr>
        <w:t xml:space="preserve"> </w:t>
      </w:r>
      <w:r w:rsidR="00893B2F">
        <w:rPr>
          <w:rFonts w:cs="Arial"/>
          <w:szCs w:val="20"/>
          <w:lang w:val="en-NZ"/>
        </w:rPr>
        <w:t>learner</w:t>
      </w:r>
      <w:r w:rsidRPr="0003653F">
        <w:rPr>
          <w:rFonts w:cs="Arial"/>
          <w:szCs w:val="20"/>
          <w:lang w:val="en-NZ"/>
        </w:rPr>
        <w:t xml:space="preserve">s must request the refund directly from the appropriate organisation, within the publicised time frame. </w:t>
      </w:r>
    </w:p>
    <w:p w14:paraId="04727A75" w14:textId="7406548F" w:rsidR="00736967" w:rsidRPr="0003653F" w:rsidRDefault="005B449A">
      <w:pPr>
        <w:pStyle w:val="BlockNumber"/>
        <w:ind w:left="1587" w:hanging="873"/>
        <w:rPr>
          <w:rFonts w:cs="Arial"/>
          <w:szCs w:val="20"/>
          <w:lang w:val="en-NZ"/>
        </w:rPr>
      </w:pPr>
      <w:r w:rsidRPr="0003653F">
        <w:rPr>
          <w:rFonts w:cs="Arial"/>
          <w:szCs w:val="20"/>
          <w:lang w:val="en-NZ"/>
        </w:rPr>
        <w:t xml:space="preserve">Refund amounts can only be held in credit for the year the refund has been processed unless </w:t>
      </w:r>
      <w:r w:rsidR="00C5264D" w:rsidRPr="0003653F">
        <w:rPr>
          <w:rFonts w:cs="Arial"/>
          <w:szCs w:val="20"/>
          <w:lang w:val="en-NZ"/>
        </w:rPr>
        <w:t xml:space="preserve">otherwise </w:t>
      </w:r>
      <w:r w:rsidRPr="0003653F">
        <w:rPr>
          <w:rFonts w:cs="Arial"/>
          <w:szCs w:val="20"/>
          <w:lang w:val="en-NZ"/>
        </w:rPr>
        <w:t xml:space="preserve">agreed in writing by the </w:t>
      </w:r>
      <w:r w:rsidR="00DC7BC6">
        <w:rPr>
          <w:rFonts w:cs="Arial"/>
          <w:szCs w:val="20"/>
          <w:lang w:val="en-NZ"/>
        </w:rPr>
        <w:t>PTE Manager</w:t>
      </w:r>
      <w:r w:rsidRPr="0003653F">
        <w:rPr>
          <w:rFonts w:cs="Arial"/>
          <w:szCs w:val="20"/>
          <w:lang w:val="en-NZ"/>
        </w:rPr>
        <w:t>.</w:t>
      </w:r>
    </w:p>
    <w:p w14:paraId="7887D780" w14:textId="77777777" w:rsidR="001B2D2D" w:rsidRPr="0003653F" w:rsidRDefault="001B2D2D" w:rsidP="0044590B">
      <w:pPr>
        <w:pStyle w:val="BlockNumber"/>
        <w:numPr>
          <w:ilvl w:val="0"/>
          <w:numId w:val="0"/>
        </w:numPr>
        <w:ind w:left="1587"/>
        <w:rPr>
          <w:rFonts w:cs="Arial"/>
          <w:szCs w:val="20"/>
        </w:rPr>
      </w:pPr>
    </w:p>
    <w:p w14:paraId="0E63492E" w14:textId="3253FE67" w:rsidR="001B2D2D" w:rsidRPr="00032FAF" w:rsidRDefault="00C578E8" w:rsidP="00ED6470">
      <w:pPr>
        <w:pStyle w:val="Heading2No"/>
        <w:spacing w:before="300" w:after="160"/>
        <w:ind w:left="360"/>
        <w:rPr>
          <w:rFonts w:cs="Arial"/>
          <w:szCs w:val="20"/>
          <w:lang w:val="en-NZ"/>
        </w:rPr>
      </w:pPr>
      <w:r>
        <w:rPr>
          <w:rFonts w:cs="Arial"/>
          <w:szCs w:val="20"/>
          <w:lang w:val="en-NZ"/>
        </w:rPr>
        <w:br w:type="column"/>
      </w:r>
      <w:r w:rsidR="005B449A" w:rsidRPr="00032FAF">
        <w:rPr>
          <w:rFonts w:cs="Arial"/>
          <w:szCs w:val="20"/>
          <w:lang w:val="en-NZ"/>
        </w:rPr>
        <w:lastRenderedPageBreak/>
        <w:t>Refunds.</w:t>
      </w:r>
    </w:p>
    <w:tbl>
      <w:tblPr>
        <w:tblW w:w="10201" w:type="dxa"/>
        <w:tblInd w:w="-139" w:type="dxa"/>
        <w:tblLayout w:type="fixed"/>
        <w:tblCellMar>
          <w:left w:w="0" w:type="dxa"/>
          <w:right w:w="0" w:type="dxa"/>
        </w:tblCellMar>
        <w:tblLook w:val="0000" w:firstRow="0" w:lastRow="0" w:firstColumn="0" w:lastColumn="0" w:noHBand="0" w:noVBand="0"/>
      </w:tblPr>
      <w:tblGrid>
        <w:gridCol w:w="2830"/>
        <w:gridCol w:w="3969"/>
        <w:gridCol w:w="3402"/>
      </w:tblGrid>
      <w:tr w:rsidR="00996BA3" w:rsidRPr="0003653F" w14:paraId="14250325" w14:textId="77777777" w:rsidTr="00C578E8">
        <w:trPr>
          <w:trHeight w:hRule="exact" w:val="472"/>
        </w:trPr>
        <w:tc>
          <w:tcPr>
            <w:tcW w:w="2830" w:type="dxa"/>
            <w:tcBorders>
              <w:top w:val="single" w:sz="4" w:space="0" w:color="auto"/>
              <w:left w:val="single" w:sz="4" w:space="0" w:color="auto"/>
              <w:bottom w:val="single" w:sz="4" w:space="0" w:color="auto"/>
              <w:right w:val="single" w:sz="4" w:space="0" w:color="auto"/>
            </w:tcBorders>
            <w:shd w:val="clear" w:color="auto" w:fill="D1D3D4"/>
          </w:tcPr>
          <w:p w14:paraId="11FB30F9" w14:textId="494B0404" w:rsidR="00996BA3" w:rsidRPr="0003653F" w:rsidRDefault="00A11247" w:rsidP="00996BA3">
            <w:pPr>
              <w:kinsoku w:val="0"/>
              <w:overflowPunct w:val="0"/>
              <w:autoSpaceDE w:val="0"/>
              <w:autoSpaceDN w:val="0"/>
              <w:adjustRightInd w:val="0"/>
              <w:spacing w:before="88"/>
              <w:ind w:left="393"/>
              <w:rPr>
                <w:rFonts w:ascii="Arial" w:eastAsia="Times New Roman" w:hAnsi="Arial" w:cs="Arial"/>
                <w:sz w:val="20"/>
                <w:szCs w:val="20"/>
              </w:rPr>
            </w:pPr>
            <w:r>
              <w:rPr>
                <w:rFonts w:ascii="Arial" w:eastAsia="Times New Roman" w:hAnsi="Arial" w:cs="Arial"/>
                <w:b/>
                <w:bCs/>
                <w:color w:val="231F20"/>
                <w:spacing w:val="1"/>
                <w:sz w:val="20"/>
                <w:szCs w:val="20"/>
              </w:rPr>
              <w:t>Nature of Training</w:t>
            </w:r>
          </w:p>
        </w:tc>
        <w:tc>
          <w:tcPr>
            <w:tcW w:w="3969" w:type="dxa"/>
            <w:tcBorders>
              <w:top w:val="single" w:sz="4" w:space="0" w:color="auto"/>
              <w:left w:val="single" w:sz="4" w:space="0" w:color="auto"/>
              <w:bottom w:val="single" w:sz="4" w:space="0" w:color="auto"/>
              <w:right w:val="single" w:sz="4" w:space="0" w:color="auto"/>
            </w:tcBorders>
            <w:shd w:val="clear" w:color="auto" w:fill="D1D3D4"/>
          </w:tcPr>
          <w:p w14:paraId="6C9269F7" w14:textId="77777777" w:rsidR="00996BA3" w:rsidRPr="0003653F" w:rsidRDefault="00996BA3" w:rsidP="00996BA3">
            <w:pPr>
              <w:kinsoku w:val="0"/>
              <w:overflowPunct w:val="0"/>
              <w:autoSpaceDE w:val="0"/>
              <w:autoSpaceDN w:val="0"/>
              <w:adjustRightInd w:val="0"/>
              <w:spacing w:before="88"/>
              <w:ind w:left="613"/>
              <w:rPr>
                <w:rFonts w:ascii="Arial" w:eastAsia="Times New Roman" w:hAnsi="Arial" w:cs="Arial"/>
                <w:sz w:val="20"/>
                <w:szCs w:val="20"/>
              </w:rPr>
            </w:pPr>
            <w:r w:rsidRPr="0003653F">
              <w:rPr>
                <w:rFonts w:ascii="Arial" w:eastAsia="Times New Roman" w:hAnsi="Arial" w:cs="Arial"/>
                <w:b/>
                <w:bCs/>
                <w:color w:val="231F20"/>
                <w:sz w:val="20"/>
                <w:szCs w:val="20"/>
              </w:rPr>
              <w:t>Withd</w:t>
            </w:r>
            <w:r w:rsidRPr="0003653F">
              <w:rPr>
                <w:rFonts w:ascii="Arial" w:eastAsia="Times New Roman" w:hAnsi="Arial" w:cs="Arial"/>
                <w:b/>
                <w:bCs/>
                <w:color w:val="231F20"/>
                <w:spacing w:val="-2"/>
                <w:sz w:val="20"/>
                <w:szCs w:val="20"/>
              </w:rPr>
              <w:t>raw</w:t>
            </w:r>
            <w:r w:rsidRPr="0003653F">
              <w:rPr>
                <w:rFonts w:ascii="Arial" w:eastAsia="Times New Roman" w:hAnsi="Arial" w:cs="Arial"/>
                <w:b/>
                <w:bCs/>
                <w:color w:val="231F20"/>
                <w:spacing w:val="1"/>
                <w:sz w:val="20"/>
                <w:szCs w:val="20"/>
              </w:rPr>
              <w:t>a</w:t>
            </w:r>
            <w:r w:rsidRPr="0003653F">
              <w:rPr>
                <w:rFonts w:ascii="Arial" w:eastAsia="Times New Roman" w:hAnsi="Arial" w:cs="Arial"/>
                <w:b/>
                <w:bCs/>
                <w:color w:val="231F20"/>
                <w:sz w:val="20"/>
                <w:szCs w:val="20"/>
              </w:rPr>
              <w:t>l</w:t>
            </w:r>
            <w:r w:rsidRPr="0003653F">
              <w:rPr>
                <w:rFonts w:ascii="Arial" w:eastAsia="Times New Roman" w:hAnsi="Arial" w:cs="Arial"/>
                <w:b/>
                <w:bCs/>
                <w:color w:val="231F20"/>
                <w:spacing w:val="36"/>
                <w:sz w:val="20"/>
                <w:szCs w:val="20"/>
              </w:rPr>
              <w:t xml:space="preserve"> </w:t>
            </w:r>
            <w:r w:rsidRPr="0003653F">
              <w:rPr>
                <w:rFonts w:ascii="Arial" w:eastAsia="Times New Roman" w:hAnsi="Arial" w:cs="Arial"/>
                <w:b/>
                <w:bCs/>
                <w:color w:val="231F20"/>
                <w:spacing w:val="-6"/>
                <w:sz w:val="20"/>
                <w:szCs w:val="20"/>
              </w:rPr>
              <w:t>P</w:t>
            </w:r>
            <w:r w:rsidRPr="0003653F">
              <w:rPr>
                <w:rFonts w:ascii="Arial" w:eastAsia="Times New Roman" w:hAnsi="Arial" w:cs="Arial"/>
                <w:b/>
                <w:bCs/>
                <w:color w:val="231F20"/>
                <w:spacing w:val="1"/>
                <w:sz w:val="20"/>
                <w:szCs w:val="20"/>
              </w:rPr>
              <w:t>e</w:t>
            </w:r>
            <w:r w:rsidRPr="0003653F">
              <w:rPr>
                <w:rFonts w:ascii="Arial" w:eastAsia="Times New Roman" w:hAnsi="Arial" w:cs="Arial"/>
                <w:b/>
                <w:bCs/>
                <w:color w:val="231F20"/>
                <w:spacing w:val="-5"/>
                <w:sz w:val="20"/>
                <w:szCs w:val="20"/>
              </w:rPr>
              <w:t>r</w:t>
            </w:r>
            <w:r w:rsidRPr="0003653F">
              <w:rPr>
                <w:rFonts w:ascii="Arial" w:eastAsia="Times New Roman" w:hAnsi="Arial" w:cs="Arial"/>
                <w:b/>
                <w:bCs/>
                <w:color w:val="231F20"/>
                <w:spacing w:val="1"/>
                <w:sz w:val="20"/>
                <w:szCs w:val="20"/>
              </w:rPr>
              <w:t>iod</w:t>
            </w:r>
            <w:r w:rsidR="00EA7067">
              <w:rPr>
                <w:rFonts w:ascii="Arial" w:eastAsia="Times New Roman" w:hAnsi="Arial" w:cs="Arial"/>
                <w:b/>
                <w:bCs/>
                <w:color w:val="231F20"/>
                <w:spacing w:val="1"/>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D1D3D4"/>
          </w:tcPr>
          <w:p w14:paraId="47F81AB2" w14:textId="77777777" w:rsidR="00996BA3" w:rsidRPr="0003653F" w:rsidRDefault="00996BA3" w:rsidP="00996BA3">
            <w:pPr>
              <w:kinsoku w:val="0"/>
              <w:overflowPunct w:val="0"/>
              <w:autoSpaceDE w:val="0"/>
              <w:autoSpaceDN w:val="0"/>
              <w:adjustRightInd w:val="0"/>
              <w:spacing w:before="88"/>
              <w:ind w:left="311"/>
              <w:rPr>
                <w:rFonts w:ascii="Arial" w:eastAsia="Times New Roman" w:hAnsi="Arial" w:cs="Arial"/>
                <w:sz w:val="20"/>
                <w:szCs w:val="20"/>
              </w:rPr>
            </w:pPr>
            <w:r w:rsidRPr="0003653F">
              <w:rPr>
                <w:rFonts w:ascii="Arial" w:eastAsia="Times New Roman" w:hAnsi="Arial" w:cs="Arial"/>
                <w:b/>
                <w:bCs/>
                <w:color w:val="231F20"/>
                <w:sz w:val="20"/>
                <w:szCs w:val="20"/>
              </w:rPr>
              <w:t>Amount</w:t>
            </w:r>
            <w:r w:rsidRPr="0003653F">
              <w:rPr>
                <w:rFonts w:ascii="Arial" w:eastAsia="Times New Roman" w:hAnsi="Arial" w:cs="Arial"/>
                <w:b/>
                <w:bCs/>
                <w:color w:val="231F20"/>
                <w:spacing w:val="10"/>
                <w:sz w:val="20"/>
                <w:szCs w:val="20"/>
              </w:rPr>
              <w:t xml:space="preserve"> </w:t>
            </w:r>
            <w:r w:rsidRPr="0003653F">
              <w:rPr>
                <w:rFonts w:ascii="Arial" w:eastAsia="Times New Roman" w:hAnsi="Arial" w:cs="Arial"/>
                <w:b/>
                <w:bCs/>
                <w:color w:val="231F20"/>
                <w:spacing w:val="1"/>
                <w:sz w:val="20"/>
                <w:szCs w:val="20"/>
              </w:rPr>
              <w:t>o</w:t>
            </w:r>
            <w:r w:rsidRPr="0003653F">
              <w:rPr>
                <w:rFonts w:ascii="Arial" w:eastAsia="Times New Roman" w:hAnsi="Arial" w:cs="Arial"/>
                <w:b/>
                <w:bCs/>
                <w:color w:val="231F20"/>
                <w:sz w:val="20"/>
                <w:szCs w:val="20"/>
              </w:rPr>
              <w:t>f</w:t>
            </w:r>
            <w:r w:rsidRPr="0003653F">
              <w:rPr>
                <w:rFonts w:ascii="Arial" w:eastAsia="Times New Roman" w:hAnsi="Arial" w:cs="Arial"/>
                <w:b/>
                <w:bCs/>
                <w:color w:val="231F20"/>
                <w:spacing w:val="10"/>
                <w:sz w:val="20"/>
                <w:szCs w:val="20"/>
              </w:rPr>
              <w:t xml:space="preserve"> </w:t>
            </w:r>
            <w:r w:rsidRPr="0003653F">
              <w:rPr>
                <w:rFonts w:ascii="Arial" w:eastAsia="Times New Roman" w:hAnsi="Arial" w:cs="Arial"/>
                <w:b/>
                <w:bCs/>
                <w:color w:val="231F20"/>
                <w:spacing w:val="1"/>
                <w:sz w:val="20"/>
                <w:szCs w:val="20"/>
              </w:rPr>
              <w:t>Refund</w:t>
            </w:r>
          </w:p>
        </w:tc>
      </w:tr>
      <w:tr w:rsidR="00CF1135" w:rsidRPr="002B195C" w14:paraId="48508493" w14:textId="77777777" w:rsidTr="00CF1135">
        <w:trPr>
          <w:trHeight w:hRule="exact" w:val="918"/>
        </w:trPr>
        <w:tc>
          <w:tcPr>
            <w:tcW w:w="2830" w:type="dxa"/>
            <w:vMerge w:val="restart"/>
            <w:tcBorders>
              <w:top w:val="single" w:sz="4" w:space="0" w:color="auto"/>
              <w:left w:val="single" w:sz="2" w:space="0" w:color="231F20"/>
              <w:right w:val="single" w:sz="2" w:space="0" w:color="231F20"/>
            </w:tcBorders>
          </w:tcPr>
          <w:p w14:paraId="5FF1BD31" w14:textId="54514FCB" w:rsidR="00CF1135" w:rsidRPr="002B195C" w:rsidRDefault="00CF1135" w:rsidP="00CE436D">
            <w:pPr>
              <w:kinsoku w:val="0"/>
              <w:overflowPunct w:val="0"/>
              <w:autoSpaceDE w:val="0"/>
              <w:autoSpaceDN w:val="0"/>
              <w:adjustRightInd w:val="0"/>
              <w:spacing w:before="120" w:after="120"/>
              <w:ind w:left="393"/>
              <w:rPr>
                <w:rFonts w:ascii="Arial" w:eastAsia="Times New Roman" w:hAnsi="Arial" w:cs="Arial"/>
                <w:color w:val="231F20"/>
                <w:sz w:val="20"/>
                <w:szCs w:val="20"/>
              </w:rPr>
            </w:pPr>
            <w:r w:rsidRPr="002B195C">
              <w:rPr>
                <w:rFonts w:ascii="Arial" w:eastAsia="Times New Roman" w:hAnsi="Arial" w:cs="Arial"/>
                <w:color w:val="231F20"/>
                <w:sz w:val="20"/>
                <w:szCs w:val="20"/>
              </w:rPr>
              <w:t>Programmes of more than one year with continuous enrolment through the year and no course structure</w:t>
            </w:r>
            <w:r w:rsidR="00496591">
              <w:rPr>
                <w:rFonts w:ascii="Arial" w:eastAsia="Times New Roman" w:hAnsi="Arial" w:cs="Arial"/>
                <w:color w:val="231F20"/>
                <w:sz w:val="20"/>
                <w:szCs w:val="20"/>
              </w:rPr>
              <w:t xml:space="preserve"> or work</w:t>
            </w:r>
            <w:r w:rsidR="00DF6E96">
              <w:rPr>
                <w:rFonts w:ascii="Arial" w:eastAsia="Times New Roman" w:hAnsi="Arial" w:cs="Arial"/>
                <w:color w:val="231F20"/>
                <w:sz w:val="20"/>
                <w:szCs w:val="20"/>
              </w:rPr>
              <w:t>-</w:t>
            </w:r>
            <w:r w:rsidR="00496591">
              <w:rPr>
                <w:rFonts w:ascii="Arial" w:eastAsia="Times New Roman" w:hAnsi="Arial" w:cs="Arial"/>
                <w:color w:val="231F20"/>
                <w:sz w:val="20"/>
                <w:szCs w:val="20"/>
              </w:rPr>
              <w:t xml:space="preserve">based </w:t>
            </w:r>
            <w:proofErr w:type="spellStart"/>
            <w:r w:rsidR="00496591">
              <w:rPr>
                <w:rFonts w:ascii="Arial" w:eastAsia="Times New Roman" w:hAnsi="Arial" w:cs="Arial"/>
                <w:color w:val="231F20"/>
                <w:sz w:val="20"/>
                <w:szCs w:val="20"/>
              </w:rPr>
              <w:t>microcredentials</w:t>
            </w:r>
            <w:proofErr w:type="spellEnd"/>
            <w:r w:rsidRPr="002B195C">
              <w:rPr>
                <w:rFonts w:ascii="Arial" w:eastAsia="Times New Roman" w:hAnsi="Arial" w:cs="Arial"/>
                <w:color w:val="231F20"/>
                <w:sz w:val="20"/>
                <w:szCs w:val="20"/>
              </w:rPr>
              <w:t xml:space="preserve">, </w:t>
            </w:r>
            <w:proofErr w:type="spellStart"/>
            <w:proofErr w:type="gramStart"/>
            <w:r w:rsidRPr="002B195C">
              <w:rPr>
                <w:rFonts w:ascii="Arial" w:eastAsia="Times New Roman" w:hAnsi="Arial" w:cs="Arial"/>
                <w:color w:val="231F20"/>
                <w:sz w:val="20"/>
                <w:szCs w:val="20"/>
              </w:rPr>
              <w:t>ie</w:t>
            </w:r>
            <w:proofErr w:type="spellEnd"/>
            <w:proofErr w:type="gramEnd"/>
            <w:r w:rsidRPr="002B195C">
              <w:rPr>
                <w:rFonts w:ascii="Arial" w:eastAsia="Times New Roman" w:hAnsi="Arial" w:cs="Arial"/>
                <w:color w:val="231F20"/>
                <w:sz w:val="20"/>
                <w:szCs w:val="20"/>
              </w:rPr>
              <w:t xml:space="preserve"> Apprenticeship Programmes</w:t>
            </w:r>
            <w:r w:rsidR="00496591">
              <w:rPr>
                <w:rFonts w:ascii="Arial" w:eastAsia="Times New Roman" w:hAnsi="Arial" w:cs="Arial"/>
                <w:color w:val="231F20"/>
                <w:sz w:val="20"/>
                <w:szCs w:val="20"/>
              </w:rPr>
              <w:t xml:space="preserve"> </w:t>
            </w:r>
          </w:p>
        </w:tc>
        <w:tc>
          <w:tcPr>
            <w:tcW w:w="3969" w:type="dxa"/>
            <w:tcBorders>
              <w:top w:val="single" w:sz="4" w:space="0" w:color="auto"/>
              <w:left w:val="single" w:sz="2" w:space="0" w:color="231F20"/>
              <w:bottom w:val="single" w:sz="2" w:space="0" w:color="231F20"/>
              <w:right w:val="single" w:sz="2" w:space="0" w:color="231F20"/>
            </w:tcBorders>
          </w:tcPr>
          <w:p w14:paraId="57F3F40A" w14:textId="61B72477" w:rsidR="00CF1135" w:rsidRPr="002B195C" w:rsidRDefault="00CF1135" w:rsidP="00CE436D">
            <w:pPr>
              <w:kinsoku w:val="0"/>
              <w:overflowPunct w:val="0"/>
              <w:autoSpaceDE w:val="0"/>
              <w:autoSpaceDN w:val="0"/>
              <w:adjustRightInd w:val="0"/>
              <w:spacing w:before="120" w:after="120"/>
              <w:ind w:left="271" w:right="281"/>
              <w:rPr>
                <w:rFonts w:ascii="Arial" w:eastAsia="Times New Roman" w:hAnsi="Arial" w:cs="Arial"/>
                <w:color w:val="231F20"/>
                <w:spacing w:val="1"/>
                <w:w w:val="105"/>
                <w:sz w:val="20"/>
                <w:szCs w:val="20"/>
              </w:rPr>
            </w:pPr>
            <w:r w:rsidRPr="002B195C">
              <w:rPr>
                <w:rFonts w:ascii="Arial" w:eastAsia="Times New Roman" w:hAnsi="Arial" w:cs="Arial"/>
                <w:color w:val="231F20"/>
                <w:spacing w:val="1"/>
                <w:w w:val="105"/>
                <w:sz w:val="20"/>
                <w:szCs w:val="20"/>
              </w:rPr>
              <w:t xml:space="preserve">Before the end of the </w:t>
            </w:r>
            <w:r w:rsidR="00251DAD" w:rsidRPr="002B195C">
              <w:rPr>
                <w:rFonts w:ascii="Arial" w:eastAsia="Times New Roman" w:hAnsi="Arial" w:cs="Arial"/>
                <w:color w:val="231F20"/>
                <w:spacing w:val="1"/>
                <w:w w:val="105"/>
                <w:sz w:val="20"/>
                <w:szCs w:val="20"/>
              </w:rPr>
              <w:t>10</w:t>
            </w:r>
            <w:r w:rsidR="00251DAD" w:rsidRPr="002B195C">
              <w:rPr>
                <w:rFonts w:ascii="Arial" w:eastAsia="Times New Roman" w:hAnsi="Arial" w:cs="Arial"/>
                <w:color w:val="231F20"/>
                <w:spacing w:val="1"/>
                <w:w w:val="105"/>
                <w:sz w:val="20"/>
                <w:szCs w:val="20"/>
                <w:vertAlign w:val="superscript"/>
              </w:rPr>
              <w:t>th</w:t>
            </w:r>
            <w:r w:rsidR="00251DAD" w:rsidRPr="002B195C">
              <w:rPr>
                <w:rFonts w:ascii="Arial" w:eastAsia="Times New Roman" w:hAnsi="Arial" w:cs="Arial"/>
                <w:color w:val="231F20"/>
                <w:spacing w:val="1"/>
                <w:w w:val="105"/>
                <w:sz w:val="20"/>
                <w:szCs w:val="20"/>
              </w:rPr>
              <w:t xml:space="preserve"> business day </w:t>
            </w:r>
            <w:r w:rsidR="0038703C" w:rsidRPr="002B195C">
              <w:rPr>
                <w:rFonts w:ascii="Arial" w:eastAsia="Times New Roman" w:hAnsi="Arial" w:cs="Arial"/>
                <w:color w:val="231F20"/>
                <w:spacing w:val="1"/>
                <w:w w:val="105"/>
                <w:sz w:val="20"/>
                <w:szCs w:val="20"/>
              </w:rPr>
              <w:t>following the signing of the Training Agreement</w:t>
            </w:r>
          </w:p>
        </w:tc>
        <w:tc>
          <w:tcPr>
            <w:tcW w:w="3402" w:type="dxa"/>
            <w:tcBorders>
              <w:top w:val="single" w:sz="4" w:space="0" w:color="auto"/>
              <w:left w:val="single" w:sz="2" w:space="0" w:color="231F20"/>
              <w:bottom w:val="single" w:sz="2" w:space="0" w:color="231F20"/>
              <w:right w:val="single" w:sz="4" w:space="0" w:color="auto"/>
            </w:tcBorders>
          </w:tcPr>
          <w:p w14:paraId="44E60B69" w14:textId="208D9B4D" w:rsidR="00CF1135" w:rsidRPr="002B195C" w:rsidRDefault="00CF1135" w:rsidP="00CE436D">
            <w:pPr>
              <w:kinsoku w:val="0"/>
              <w:overflowPunct w:val="0"/>
              <w:autoSpaceDE w:val="0"/>
              <w:autoSpaceDN w:val="0"/>
              <w:adjustRightInd w:val="0"/>
              <w:spacing w:before="120" w:after="120"/>
              <w:ind w:left="309" w:right="279"/>
              <w:rPr>
                <w:rFonts w:ascii="Arial" w:eastAsia="Times New Roman" w:hAnsi="Arial" w:cs="Arial"/>
                <w:color w:val="231F20"/>
                <w:spacing w:val="1"/>
                <w:w w:val="110"/>
                <w:sz w:val="20"/>
                <w:szCs w:val="20"/>
              </w:rPr>
            </w:pPr>
            <w:r w:rsidRPr="002B195C">
              <w:rPr>
                <w:rFonts w:ascii="Arial" w:eastAsia="Times New Roman" w:hAnsi="Arial" w:cs="Arial"/>
                <w:color w:val="231F20"/>
                <w:spacing w:val="1"/>
                <w:w w:val="110"/>
                <w:sz w:val="20"/>
                <w:szCs w:val="20"/>
              </w:rPr>
              <w:t>Full refund of Fees, less admin costs of 10%or $500 whichever is lesser</w:t>
            </w:r>
          </w:p>
        </w:tc>
      </w:tr>
      <w:tr w:rsidR="00CF1135" w:rsidRPr="002B195C" w14:paraId="27F716A0" w14:textId="77777777" w:rsidTr="00DF6E96">
        <w:trPr>
          <w:trHeight w:hRule="exact" w:val="1214"/>
        </w:trPr>
        <w:tc>
          <w:tcPr>
            <w:tcW w:w="2830" w:type="dxa"/>
            <w:vMerge/>
            <w:tcBorders>
              <w:left w:val="single" w:sz="2" w:space="0" w:color="231F20"/>
              <w:bottom w:val="single" w:sz="2" w:space="0" w:color="231F20"/>
              <w:right w:val="single" w:sz="2" w:space="0" w:color="231F20"/>
            </w:tcBorders>
          </w:tcPr>
          <w:p w14:paraId="53FAD58A" w14:textId="77777777" w:rsidR="00CF1135" w:rsidRPr="002B195C" w:rsidRDefault="00CF1135" w:rsidP="00CE436D">
            <w:pPr>
              <w:kinsoku w:val="0"/>
              <w:overflowPunct w:val="0"/>
              <w:autoSpaceDE w:val="0"/>
              <w:autoSpaceDN w:val="0"/>
              <w:adjustRightInd w:val="0"/>
              <w:spacing w:before="120" w:after="120"/>
              <w:ind w:left="393"/>
              <w:rPr>
                <w:rFonts w:ascii="Arial" w:eastAsia="Times New Roman" w:hAnsi="Arial" w:cs="Arial"/>
                <w:color w:val="231F20"/>
                <w:sz w:val="20"/>
                <w:szCs w:val="20"/>
              </w:rPr>
            </w:pPr>
          </w:p>
        </w:tc>
        <w:tc>
          <w:tcPr>
            <w:tcW w:w="3969" w:type="dxa"/>
            <w:tcBorders>
              <w:top w:val="single" w:sz="4" w:space="0" w:color="auto"/>
              <w:left w:val="single" w:sz="2" w:space="0" w:color="231F20"/>
              <w:bottom w:val="single" w:sz="2" w:space="0" w:color="231F20"/>
              <w:right w:val="single" w:sz="2" w:space="0" w:color="231F20"/>
            </w:tcBorders>
          </w:tcPr>
          <w:p w14:paraId="58DEFCAD" w14:textId="25C7F0E9" w:rsidR="00CF1135" w:rsidRPr="002B195C" w:rsidRDefault="00CF1135" w:rsidP="00CE436D">
            <w:pPr>
              <w:kinsoku w:val="0"/>
              <w:overflowPunct w:val="0"/>
              <w:autoSpaceDE w:val="0"/>
              <w:autoSpaceDN w:val="0"/>
              <w:adjustRightInd w:val="0"/>
              <w:spacing w:before="120" w:after="120"/>
              <w:ind w:left="271"/>
              <w:rPr>
                <w:rFonts w:ascii="Arial" w:eastAsia="Times New Roman" w:hAnsi="Arial" w:cs="Arial"/>
                <w:color w:val="231F20"/>
                <w:spacing w:val="1"/>
                <w:w w:val="105"/>
                <w:sz w:val="20"/>
                <w:szCs w:val="20"/>
              </w:rPr>
            </w:pPr>
            <w:r w:rsidRPr="002B195C">
              <w:rPr>
                <w:rFonts w:ascii="Arial" w:eastAsia="Times New Roman" w:hAnsi="Arial" w:cs="Arial"/>
                <w:color w:val="231F20"/>
                <w:spacing w:val="1"/>
                <w:w w:val="105"/>
                <w:sz w:val="20"/>
                <w:szCs w:val="20"/>
              </w:rPr>
              <w:t xml:space="preserve">After the </w:t>
            </w:r>
            <w:r w:rsidR="00251DAD" w:rsidRPr="002B195C">
              <w:rPr>
                <w:rFonts w:ascii="Arial" w:eastAsia="Times New Roman" w:hAnsi="Arial" w:cs="Arial"/>
                <w:color w:val="231F20"/>
                <w:spacing w:val="1"/>
                <w:w w:val="105"/>
                <w:sz w:val="20"/>
                <w:szCs w:val="20"/>
              </w:rPr>
              <w:t>10</w:t>
            </w:r>
            <w:r w:rsidR="00251DAD" w:rsidRPr="002B195C">
              <w:rPr>
                <w:rFonts w:ascii="Arial" w:eastAsia="Times New Roman" w:hAnsi="Arial" w:cs="Arial"/>
                <w:color w:val="231F20"/>
                <w:spacing w:val="1"/>
                <w:w w:val="105"/>
                <w:sz w:val="20"/>
                <w:szCs w:val="20"/>
                <w:vertAlign w:val="superscript"/>
              </w:rPr>
              <w:t>th</w:t>
            </w:r>
            <w:r w:rsidR="00251DAD" w:rsidRPr="002B195C">
              <w:rPr>
                <w:rFonts w:ascii="Arial" w:eastAsia="Times New Roman" w:hAnsi="Arial" w:cs="Arial"/>
                <w:color w:val="231F20"/>
                <w:spacing w:val="1"/>
                <w:w w:val="105"/>
                <w:sz w:val="20"/>
                <w:szCs w:val="20"/>
              </w:rPr>
              <w:t xml:space="preserve"> </w:t>
            </w:r>
            <w:r w:rsidR="00960387" w:rsidRPr="002B195C">
              <w:rPr>
                <w:rFonts w:ascii="Arial" w:eastAsia="Times New Roman" w:hAnsi="Arial" w:cs="Arial"/>
                <w:color w:val="231F20"/>
                <w:spacing w:val="1"/>
                <w:w w:val="105"/>
                <w:sz w:val="20"/>
                <w:szCs w:val="20"/>
              </w:rPr>
              <w:t xml:space="preserve">business </w:t>
            </w:r>
            <w:r w:rsidRPr="002B195C">
              <w:rPr>
                <w:rFonts w:ascii="Arial" w:eastAsia="Times New Roman" w:hAnsi="Arial" w:cs="Arial"/>
                <w:color w:val="231F20"/>
                <w:spacing w:val="1"/>
                <w:w w:val="105"/>
                <w:sz w:val="20"/>
                <w:szCs w:val="20"/>
              </w:rPr>
              <w:t xml:space="preserve">day </w:t>
            </w:r>
          </w:p>
        </w:tc>
        <w:tc>
          <w:tcPr>
            <w:tcW w:w="3402" w:type="dxa"/>
            <w:tcBorders>
              <w:top w:val="single" w:sz="4" w:space="0" w:color="auto"/>
              <w:left w:val="single" w:sz="2" w:space="0" w:color="231F20"/>
              <w:bottom w:val="single" w:sz="2" w:space="0" w:color="231F20"/>
              <w:right w:val="single" w:sz="4" w:space="0" w:color="auto"/>
            </w:tcBorders>
          </w:tcPr>
          <w:p w14:paraId="7D90681D" w14:textId="77777777" w:rsidR="00CF1135" w:rsidRPr="002B195C" w:rsidRDefault="00CF1135" w:rsidP="00CE436D">
            <w:pPr>
              <w:kinsoku w:val="0"/>
              <w:overflowPunct w:val="0"/>
              <w:autoSpaceDE w:val="0"/>
              <w:autoSpaceDN w:val="0"/>
              <w:adjustRightInd w:val="0"/>
              <w:spacing w:before="120" w:after="120"/>
              <w:ind w:left="309"/>
              <w:rPr>
                <w:rFonts w:ascii="Arial" w:eastAsia="Times New Roman" w:hAnsi="Arial" w:cs="Arial"/>
                <w:color w:val="231F20"/>
                <w:spacing w:val="1"/>
                <w:w w:val="110"/>
                <w:sz w:val="20"/>
                <w:szCs w:val="20"/>
              </w:rPr>
            </w:pPr>
            <w:r w:rsidRPr="002B195C">
              <w:rPr>
                <w:rFonts w:ascii="Arial" w:eastAsia="Times New Roman" w:hAnsi="Arial" w:cs="Arial"/>
                <w:color w:val="231F20"/>
                <w:spacing w:val="1"/>
                <w:w w:val="110"/>
                <w:sz w:val="20"/>
                <w:szCs w:val="20"/>
              </w:rPr>
              <w:t>No refund</w:t>
            </w:r>
          </w:p>
        </w:tc>
      </w:tr>
      <w:tr w:rsidR="00996BA3" w:rsidRPr="002B195C" w14:paraId="08596D49" w14:textId="77777777" w:rsidTr="00CE436D">
        <w:trPr>
          <w:trHeight w:hRule="exact" w:val="501"/>
        </w:trPr>
        <w:tc>
          <w:tcPr>
            <w:tcW w:w="2830" w:type="dxa"/>
            <w:tcBorders>
              <w:top w:val="single" w:sz="4" w:space="0" w:color="auto"/>
              <w:left w:val="single" w:sz="2" w:space="0" w:color="231F20"/>
              <w:bottom w:val="single" w:sz="2" w:space="0" w:color="231F20"/>
              <w:right w:val="single" w:sz="2" w:space="0" w:color="231F20"/>
            </w:tcBorders>
          </w:tcPr>
          <w:p w14:paraId="6AF66C2B" w14:textId="04DF4425" w:rsidR="00996BA3" w:rsidRPr="002B195C" w:rsidRDefault="00CF1135" w:rsidP="00CE436D">
            <w:pPr>
              <w:kinsoku w:val="0"/>
              <w:overflowPunct w:val="0"/>
              <w:autoSpaceDE w:val="0"/>
              <w:autoSpaceDN w:val="0"/>
              <w:adjustRightInd w:val="0"/>
              <w:spacing w:before="120" w:after="120"/>
              <w:ind w:left="393"/>
              <w:rPr>
                <w:rFonts w:ascii="Arial" w:eastAsia="Times New Roman" w:hAnsi="Arial" w:cs="Arial"/>
                <w:sz w:val="20"/>
                <w:szCs w:val="20"/>
              </w:rPr>
            </w:pPr>
            <w:r w:rsidRPr="002B195C">
              <w:rPr>
                <w:rFonts w:ascii="Arial" w:eastAsia="Times New Roman" w:hAnsi="Arial" w:cs="Arial"/>
                <w:color w:val="231F20"/>
                <w:sz w:val="20"/>
                <w:szCs w:val="20"/>
              </w:rPr>
              <w:t xml:space="preserve">Courses of </w:t>
            </w:r>
            <w:r w:rsidR="00996BA3" w:rsidRPr="002B195C">
              <w:rPr>
                <w:rFonts w:ascii="Arial" w:eastAsia="Times New Roman" w:hAnsi="Arial" w:cs="Arial"/>
                <w:color w:val="231F20"/>
                <w:sz w:val="20"/>
                <w:szCs w:val="20"/>
              </w:rPr>
              <w:t>1</w:t>
            </w:r>
            <w:r w:rsidR="00996BA3" w:rsidRPr="002B195C">
              <w:rPr>
                <w:rFonts w:ascii="Arial" w:eastAsia="Times New Roman" w:hAnsi="Arial" w:cs="Arial"/>
                <w:color w:val="231F20"/>
                <w:spacing w:val="12"/>
                <w:sz w:val="20"/>
                <w:szCs w:val="20"/>
              </w:rPr>
              <w:t xml:space="preserve"> </w:t>
            </w:r>
            <w:r w:rsidR="00996BA3" w:rsidRPr="002B195C">
              <w:rPr>
                <w:rFonts w:ascii="Arial" w:eastAsia="Times New Roman" w:hAnsi="Arial" w:cs="Arial"/>
                <w:color w:val="231F20"/>
                <w:sz w:val="20"/>
                <w:szCs w:val="20"/>
              </w:rPr>
              <w:t>-</w:t>
            </w:r>
            <w:r w:rsidR="00996BA3" w:rsidRPr="002B195C">
              <w:rPr>
                <w:rFonts w:ascii="Arial" w:eastAsia="Times New Roman" w:hAnsi="Arial" w:cs="Arial"/>
                <w:color w:val="231F20"/>
                <w:spacing w:val="12"/>
                <w:sz w:val="20"/>
                <w:szCs w:val="20"/>
              </w:rPr>
              <w:t xml:space="preserve"> </w:t>
            </w:r>
            <w:r w:rsidR="00376848" w:rsidRPr="002B195C">
              <w:rPr>
                <w:rFonts w:ascii="Arial" w:eastAsia="Times New Roman" w:hAnsi="Arial" w:cs="Arial"/>
                <w:color w:val="231F20"/>
                <w:spacing w:val="12"/>
                <w:sz w:val="20"/>
                <w:szCs w:val="20"/>
              </w:rPr>
              <w:t>2</w:t>
            </w:r>
            <w:r w:rsidR="00996BA3" w:rsidRPr="002B195C">
              <w:rPr>
                <w:rFonts w:ascii="Arial" w:eastAsia="Times New Roman" w:hAnsi="Arial" w:cs="Arial"/>
                <w:color w:val="231F20"/>
                <w:spacing w:val="12"/>
                <w:sz w:val="20"/>
                <w:szCs w:val="20"/>
              </w:rPr>
              <w:t xml:space="preserve"> </w:t>
            </w:r>
            <w:r w:rsidR="00996BA3" w:rsidRPr="002B195C">
              <w:rPr>
                <w:rFonts w:ascii="Arial" w:eastAsia="Times New Roman" w:hAnsi="Arial" w:cs="Arial"/>
                <w:color w:val="231F20"/>
                <w:sz w:val="20"/>
                <w:szCs w:val="20"/>
              </w:rPr>
              <w:t>days</w:t>
            </w:r>
          </w:p>
        </w:tc>
        <w:tc>
          <w:tcPr>
            <w:tcW w:w="3969" w:type="dxa"/>
            <w:tcBorders>
              <w:top w:val="single" w:sz="4" w:space="0" w:color="auto"/>
              <w:left w:val="single" w:sz="2" w:space="0" w:color="231F20"/>
              <w:bottom w:val="single" w:sz="2" w:space="0" w:color="231F20"/>
              <w:right w:val="single" w:sz="2" w:space="0" w:color="231F20"/>
            </w:tcBorders>
          </w:tcPr>
          <w:p w14:paraId="0AA0A3A3" w14:textId="77777777" w:rsidR="00996BA3" w:rsidRPr="002B195C" w:rsidRDefault="00996BA3" w:rsidP="00CE436D">
            <w:pPr>
              <w:kinsoku w:val="0"/>
              <w:overflowPunct w:val="0"/>
              <w:autoSpaceDE w:val="0"/>
              <w:autoSpaceDN w:val="0"/>
              <w:adjustRightInd w:val="0"/>
              <w:spacing w:before="120" w:after="120"/>
              <w:ind w:left="271"/>
              <w:rPr>
                <w:rFonts w:ascii="Arial" w:eastAsia="Times New Roman" w:hAnsi="Arial" w:cs="Arial"/>
                <w:sz w:val="20"/>
                <w:szCs w:val="20"/>
              </w:rPr>
            </w:pPr>
            <w:r w:rsidRPr="002B195C">
              <w:rPr>
                <w:rFonts w:ascii="Arial" w:eastAsia="Times New Roman" w:hAnsi="Arial" w:cs="Arial"/>
                <w:color w:val="231F20"/>
                <w:spacing w:val="1"/>
                <w:w w:val="105"/>
                <w:sz w:val="20"/>
                <w:szCs w:val="20"/>
              </w:rPr>
              <w:t>Onc</w:t>
            </w:r>
            <w:r w:rsidRPr="002B195C">
              <w:rPr>
                <w:rFonts w:ascii="Arial" w:eastAsia="Times New Roman" w:hAnsi="Arial" w:cs="Arial"/>
                <w:color w:val="231F20"/>
                <w:w w:val="105"/>
                <w:sz w:val="20"/>
                <w:szCs w:val="20"/>
              </w:rPr>
              <w:t>e</w:t>
            </w:r>
            <w:r w:rsidRPr="002B195C">
              <w:rPr>
                <w:rFonts w:ascii="Arial" w:eastAsia="Times New Roman" w:hAnsi="Arial" w:cs="Arial"/>
                <w:color w:val="231F20"/>
                <w:spacing w:val="3"/>
                <w:w w:val="105"/>
                <w:sz w:val="20"/>
                <w:szCs w:val="20"/>
              </w:rPr>
              <w:t xml:space="preserve"> </w:t>
            </w:r>
            <w:r w:rsidRPr="002B195C">
              <w:rPr>
                <w:rFonts w:ascii="Arial" w:eastAsia="Times New Roman" w:hAnsi="Arial" w:cs="Arial"/>
                <w:color w:val="231F20"/>
                <w:w w:val="105"/>
                <w:sz w:val="20"/>
                <w:szCs w:val="20"/>
              </w:rPr>
              <w:t>cou</w:t>
            </w:r>
            <w:r w:rsidRPr="002B195C">
              <w:rPr>
                <w:rFonts w:ascii="Arial" w:eastAsia="Times New Roman" w:hAnsi="Arial" w:cs="Arial"/>
                <w:color w:val="231F20"/>
                <w:spacing w:val="3"/>
                <w:w w:val="105"/>
                <w:sz w:val="20"/>
                <w:szCs w:val="20"/>
              </w:rPr>
              <w:t>r</w:t>
            </w:r>
            <w:r w:rsidRPr="002B195C">
              <w:rPr>
                <w:rFonts w:ascii="Arial" w:eastAsia="Times New Roman" w:hAnsi="Arial" w:cs="Arial"/>
                <w:color w:val="231F20"/>
                <w:spacing w:val="1"/>
                <w:w w:val="105"/>
                <w:sz w:val="20"/>
                <w:szCs w:val="20"/>
              </w:rPr>
              <w:t>s</w:t>
            </w:r>
            <w:r w:rsidRPr="002B195C">
              <w:rPr>
                <w:rFonts w:ascii="Arial" w:eastAsia="Times New Roman" w:hAnsi="Arial" w:cs="Arial"/>
                <w:color w:val="231F20"/>
                <w:w w:val="105"/>
                <w:sz w:val="20"/>
                <w:szCs w:val="20"/>
              </w:rPr>
              <w:t>e</w:t>
            </w:r>
            <w:r w:rsidRPr="002B195C">
              <w:rPr>
                <w:rFonts w:ascii="Arial" w:eastAsia="Times New Roman" w:hAnsi="Arial" w:cs="Arial"/>
                <w:color w:val="231F20"/>
                <w:spacing w:val="4"/>
                <w:w w:val="105"/>
                <w:sz w:val="20"/>
                <w:szCs w:val="20"/>
              </w:rPr>
              <w:t xml:space="preserve"> </w:t>
            </w:r>
            <w:r w:rsidRPr="002B195C">
              <w:rPr>
                <w:rFonts w:ascii="Arial" w:eastAsia="Times New Roman" w:hAnsi="Arial" w:cs="Arial"/>
                <w:color w:val="231F20"/>
                <w:spacing w:val="1"/>
                <w:w w:val="105"/>
                <w:sz w:val="20"/>
                <w:szCs w:val="20"/>
              </w:rPr>
              <w:t>ha</w:t>
            </w:r>
            <w:r w:rsidRPr="002B195C">
              <w:rPr>
                <w:rFonts w:ascii="Arial" w:eastAsia="Times New Roman" w:hAnsi="Arial" w:cs="Arial"/>
                <w:color w:val="231F20"/>
                <w:w w:val="105"/>
                <w:sz w:val="20"/>
                <w:szCs w:val="20"/>
              </w:rPr>
              <w:t>s</w:t>
            </w:r>
            <w:r w:rsidRPr="002B195C">
              <w:rPr>
                <w:rFonts w:ascii="Arial" w:eastAsia="Times New Roman" w:hAnsi="Arial" w:cs="Arial"/>
                <w:color w:val="231F20"/>
                <w:spacing w:val="4"/>
                <w:w w:val="105"/>
                <w:sz w:val="20"/>
                <w:szCs w:val="20"/>
              </w:rPr>
              <w:t xml:space="preserve"> </w:t>
            </w:r>
            <w:r w:rsidRPr="002B195C">
              <w:rPr>
                <w:rFonts w:ascii="Arial" w:eastAsia="Times New Roman" w:hAnsi="Arial" w:cs="Arial"/>
                <w:color w:val="231F20"/>
                <w:spacing w:val="1"/>
                <w:w w:val="105"/>
                <w:sz w:val="20"/>
                <w:szCs w:val="20"/>
              </w:rPr>
              <w:t>sta</w:t>
            </w:r>
            <w:r w:rsidRPr="002B195C">
              <w:rPr>
                <w:rFonts w:ascii="Arial" w:eastAsia="Times New Roman" w:hAnsi="Arial" w:cs="Arial"/>
                <w:color w:val="231F20"/>
                <w:spacing w:val="-3"/>
                <w:w w:val="105"/>
                <w:sz w:val="20"/>
                <w:szCs w:val="20"/>
              </w:rPr>
              <w:t>r</w:t>
            </w:r>
            <w:r w:rsidRPr="002B195C">
              <w:rPr>
                <w:rFonts w:ascii="Arial" w:eastAsia="Times New Roman" w:hAnsi="Arial" w:cs="Arial"/>
                <w:color w:val="231F20"/>
                <w:w w:val="105"/>
                <w:sz w:val="20"/>
                <w:szCs w:val="20"/>
              </w:rPr>
              <w:t>ted</w:t>
            </w:r>
          </w:p>
        </w:tc>
        <w:tc>
          <w:tcPr>
            <w:tcW w:w="3402" w:type="dxa"/>
            <w:tcBorders>
              <w:top w:val="single" w:sz="4" w:space="0" w:color="auto"/>
              <w:left w:val="single" w:sz="2" w:space="0" w:color="231F20"/>
              <w:bottom w:val="single" w:sz="2" w:space="0" w:color="231F20"/>
              <w:right w:val="single" w:sz="4" w:space="0" w:color="auto"/>
            </w:tcBorders>
          </w:tcPr>
          <w:p w14:paraId="4FB25AFD" w14:textId="77777777" w:rsidR="00996BA3" w:rsidRPr="002B195C" w:rsidRDefault="00996BA3" w:rsidP="00CE436D">
            <w:pPr>
              <w:kinsoku w:val="0"/>
              <w:overflowPunct w:val="0"/>
              <w:autoSpaceDE w:val="0"/>
              <w:autoSpaceDN w:val="0"/>
              <w:adjustRightInd w:val="0"/>
              <w:spacing w:before="120" w:after="120"/>
              <w:ind w:left="309"/>
              <w:rPr>
                <w:rFonts w:ascii="Arial" w:eastAsia="Times New Roman" w:hAnsi="Arial" w:cs="Arial"/>
                <w:sz w:val="20"/>
                <w:szCs w:val="20"/>
              </w:rPr>
            </w:pPr>
            <w:r w:rsidRPr="002B195C">
              <w:rPr>
                <w:rFonts w:ascii="Arial" w:eastAsia="Times New Roman" w:hAnsi="Arial" w:cs="Arial"/>
                <w:color w:val="231F20"/>
                <w:spacing w:val="1"/>
                <w:w w:val="110"/>
                <w:sz w:val="20"/>
                <w:szCs w:val="20"/>
              </w:rPr>
              <w:t>N</w:t>
            </w:r>
            <w:r w:rsidRPr="002B195C">
              <w:rPr>
                <w:rFonts w:ascii="Arial" w:eastAsia="Times New Roman" w:hAnsi="Arial" w:cs="Arial"/>
                <w:color w:val="231F20"/>
                <w:w w:val="110"/>
                <w:sz w:val="20"/>
                <w:szCs w:val="20"/>
              </w:rPr>
              <w:t>o</w:t>
            </w:r>
            <w:r w:rsidRPr="002B195C">
              <w:rPr>
                <w:rFonts w:ascii="Arial" w:eastAsia="Times New Roman" w:hAnsi="Arial" w:cs="Arial"/>
                <w:color w:val="231F20"/>
                <w:spacing w:val="-6"/>
                <w:w w:val="110"/>
                <w:sz w:val="20"/>
                <w:szCs w:val="20"/>
              </w:rPr>
              <w:t xml:space="preserve"> </w:t>
            </w:r>
            <w:r w:rsidRPr="002B195C">
              <w:rPr>
                <w:rFonts w:ascii="Arial" w:eastAsia="Times New Roman" w:hAnsi="Arial" w:cs="Arial"/>
                <w:color w:val="231F20"/>
                <w:spacing w:val="1"/>
                <w:w w:val="110"/>
                <w:sz w:val="20"/>
                <w:szCs w:val="20"/>
              </w:rPr>
              <w:t>refund</w:t>
            </w:r>
          </w:p>
        </w:tc>
      </w:tr>
      <w:tr w:rsidR="001F4A60" w:rsidRPr="002B195C" w14:paraId="1ABE9FC1" w14:textId="77777777" w:rsidTr="00376848">
        <w:trPr>
          <w:trHeight w:hRule="exact" w:val="597"/>
        </w:trPr>
        <w:tc>
          <w:tcPr>
            <w:tcW w:w="2830" w:type="dxa"/>
            <w:vMerge w:val="restart"/>
            <w:tcBorders>
              <w:top w:val="single" w:sz="2" w:space="0" w:color="231F20"/>
              <w:left w:val="single" w:sz="2" w:space="0" w:color="231F20"/>
              <w:right w:val="single" w:sz="2" w:space="0" w:color="231F20"/>
            </w:tcBorders>
          </w:tcPr>
          <w:p w14:paraId="69C24709" w14:textId="48655D53" w:rsidR="001F4A60" w:rsidRPr="002B195C" w:rsidRDefault="00CF1135" w:rsidP="00CE436D">
            <w:pPr>
              <w:kinsoku w:val="0"/>
              <w:overflowPunct w:val="0"/>
              <w:autoSpaceDE w:val="0"/>
              <w:autoSpaceDN w:val="0"/>
              <w:adjustRightInd w:val="0"/>
              <w:spacing w:before="120" w:after="120"/>
              <w:ind w:left="393"/>
              <w:rPr>
                <w:rFonts w:ascii="Arial" w:eastAsia="Times New Roman" w:hAnsi="Arial" w:cs="Arial"/>
                <w:sz w:val="20"/>
                <w:szCs w:val="20"/>
              </w:rPr>
            </w:pPr>
            <w:r w:rsidRPr="002B195C">
              <w:rPr>
                <w:rFonts w:ascii="Arial" w:eastAsia="Times New Roman" w:hAnsi="Arial" w:cs="Arial"/>
                <w:color w:val="231F20"/>
                <w:sz w:val="20"/>
                <w:szCs w:val="20"/>
              </w:rPr>
              <w:t xml:space="preserve">Courses of </w:t>
            </w:r>
            <w:r w:rsidR="00376848" w:rsidRPr="002B195C">
              <w:rPr>
                <w:rFonts w:ascii="Arial" w:eastAsia="Times New Roman" w:hAnsi="Arial" w:cs="Arial"/>
                <w:color w:val="231F20"/>
                <w:sz w:val="20"/>
                <w:szCs w:val="20"/>
              </w:rPr>
              <w:t>2</w:t>
            </w:r>
            <w:r w:rsidR="001F4A60" w:rsidRPr="002B195C">
              <w:rPr>
                <w:rFonts w:ascii="Arial" w:eastAsia="Times New Roman" w:hAnsi="Arial" w:cs="Arial"/>
                <w:color w:val="231F20"/>
                <w:spacing w:val="15"/>
                <w:sz w:val="20"/>
                <w:szCs w:val="20"/>
              </w:rPr>
              <w:t xml:space="preserve"> </w:t>
            </w:r>
            <w:r w:rsidR="00376848" w:rsidRPr="002B195C">
              <w:rPr>
                <w:rFonts w:ascii="Arial" w:eastAsia="Times New Roman" w:hAnsi="Arial" w:cs="Arial"/>
                <w:color w:val="231F20"/>
                <w:spacing w:val="15"/>
                <w:sz w:val="20"/>
                <w:szCs w:val="20"/>
              </w:rPr>
              <w:t>days</w:t>
            </w:r>
            <w:r w:rsidR="001F4A60" w:rsidRPr="002B195C">
              <w:rPr>
                <w:rFonts w:ascii="Arial" w:eastAsia="Times New Roman" w:hAnsi="Arial" w:cs="Arial"/>
                <w:color w:val="231F20"/>
                <w:spacing w:val="15"/>
                <w:sz w:val="20"/>
                <w:szCs w:val="20"/>
              </w:rPr>
              <w:t xml:space="preserve"> - </w:t>
            </w:r>
            <w:r w:rsidR="00376848" w:rsidRPr="002B195C">
              <w:rPr>
                <w:rFonts w:ascii="Arial" w:eastAsia="Times New Roman" w:hAnsi="Arial" w:cs="Arial"/>
                <w:color w:val="231F20"/>
                <w:spacing w:val="15"/>
                <w:sz w:val="20"/>
                <w:szCs w:val="20"/>
              </w:rPr>
              <w:t xml:space="preserve">5 weeks </w:t>
            </w:r>
          </w:p>
        </w:tc>
        <w:tc>
          <w:tcPr>
            <w:tcW w:w="3969" w:type="dxa"/>
            <w:tcBorders>
              <w:top w:val="single" w:sz="2" w:space="0" w:color="231F20"/>
              <w:left w:val="single" w:sz="2" w:space="0" w:color="231F20"/>
              <w:bottom w:val="single" w:sz="2" w:space="0" w:color="231F20"/>
              <w:right w:val="single" w:sz="2" w:space="0" w:color="231F20"/>
            </w:tcBorders>
          </w:tcPr>
          <w:p w14:paraId="5D2C02FA" w14:textId="05387F7A" w:rsidR="001F4A60" w:rsidRPr="002B195C" w:rsidRDefault="001F4A60" w:rsidP="00CE436D">
            <w:pPr>
              <w:kinsoku w:val="0"/>
              <w:overflowPunct w:val="0"/>
              <w:autoSpaceDE w:val="0"/>
              <w:autoSpaceDN w:val="0"/>
              <w:adjustRightInd w:val="0"/>
              <w:spacing w:before="120" w:after="120" w:line="253" w:lineRule="auto"/>
              <w:ind w:left="271" w:right="613"/>
              <w:rPr>
                <w:rFonts w:ascii="Arial" w:eastAsia="Times New Roman" w:hAnsi="Arial" w:cs="Arial"/>
                <w:sz w:val="20"/>
                <w:szCs w:val="20"/>
              </w:rPr>
            </w:pPr>
            <w:r w:rsidRPr="002B195C">
              <w:rPr>
                <w:rFonts w:ascii="Arial" w:eastAsia="Times New Roman" w:hAnsi="Arial" w:cs="Arial"/>
                <w:color w:val="231F20"/>
                <w:spacing w:val="1"/>
                <w:w w:val="105"/>
                <w:sz w:val="20"/>
                <w:szCs w:val="20"/>
              </w:rPr>
              <w:t>Befor</w:t>
            </w:r>
            <w:r w:rsidRPr="002B195C">
              <w:rPr>
                <w:rFonts w:ascii="Arial" w:eastAsia="Times New Roman" w:hAnsi="Arial" w:cs="Arial"/>
                <w:color w:val="231F20"/>
                <w:w w:val="105"/>
                <w:sz w:val="20"/>
                <w:szCs w:val="20"/>
              </w:rPr>
              <w:t>e</w:t>
            </w:r>
            <w:r w:rsidRPr="002B195C">
              <w:rPr>
                <w:rFonts w:ascii="Arial" w:eastAsia="Times New Roman" w:hAnsi="Arial" w:cs="Arial"/>
                <w:color w:val="231F20"/>
                <w:spacing w:val="9"/>
                <w:w w:val="105"/>
                <w:sz w:val="20"/>
                <w:szCs w:val="20"/>
              </w:rPr>
              <w:t xml:space="preserve"> </w:t>
            </w:r>
            <w:r w:rsidRPr="002B195C">
              <w:rPr>
                <w:rFonts w:ascii="Arial" w:eastAsia="Times New Roman" w:hAnsi="Arial" w:cs="Arial"/>
                <w:color w:val="231F20"/>
                <w:w w:val="105"/>
                <w:sz w:val="20"/>
                <w:szCs w:val="20"/>
              </w:rPr>
              <w:t>the</w:t>
            </w:r>
            <w:r w:rsidRPr="002B195C">
              <w:rPr>
                <w:rFonts w:ascii="Arial" w:eastAsia="Times New Roman" w:hAnsi="Arial" w:cs="Arial"/>
                <w:color w:val="231F20"/>
                <w:spacing w:val="9"/>
                <w:w w:val="105"/>
                <w:sz w:val="20"/>
                <w:szCs w:val="20"/>
              </w:rPr>
              <w:t xml:space="preserve"> </w:t>
            </w:r>
            <w:r w:rsidRPr="002B195C">
              <w:rPr>
                <w:rFonts w:ascii="Arial" w:eastAsia="Times New Roman" w:hAnsi="Arial" w:cs="Arial"/>
                <w:color w:val="231F20"/>
                <w:spacing w:val="1"/>
                <w:w w:val="105"/>
                <w:sz w:val="20"/>
                <w:szCs w:val="20"/>
              </w:rPr>
              <w:t>en</w:t>
            </w:r>
            <w:r w:rsidRPr="002B195C">
              <w:rPr>
                <w:rFonts w:ascii="Arial" w:eastAsia="Times New Roman" w:hAnsi="Arial" w:cs="Arial"/>
                <w:color w:val="231F20"/>
                <w:w w:val="105"/>
                <w:sz w:val="20"/>
                <w:szCs w:val="20"/>
              </w:rPr>
              <w:t>d</w:t>
            </w:r>
            <w:r w:rsidRPr="002B195C">
              <w:rPr>
                <w:rFonts w:ascii="Arial" w:eastAsia="Times New Roman" w:hAnsi="Arial" w:cs="Arial"/>
                <w:color w:val="231F20"/>
                <w:spacing w:val="9"/>
                <w:w w:val="105"/>
                <w:sz w:val="20"/>
                <w:szCs w:val="20"/>
              </w:rPr>
              <w:t xml:space="preserve"> </w:t>
            </w:r>
            <w:r w:rsidRPr="002B195C">
              <w:rPr>
                <w:rFonts w:ascii="Arial" w:eastAsia="Times New Roman" w:hAnsi="Arial" w:cs="Arial"/>
                <w:color w:val="231F20"/>
                <w:w w:val="105"/>
                <w:sz w:val="20"/>
                <w:szCs w:val="20"/>
              </w:rPr>
              <w:t>of</w:t>
            </w:r>
            <w:r w:rsidRPr="002B195C">
              <w:rPr>
                <w:rFonts w:ascii="Arial" w:eastAsia="Times New Roman" w:hAnsi="Arial" w:cs="Arial"/>
                <w:color w:val="231F20"/>
                <w:spacing w:val="10"/>
                <w:w w:val="105"/>
                <w:sz w:val="20"/>
                <w:szCs w:val="20"/>
              </w:rPr>
              <w:t xml:space="preserve"> </w:t>
            </w:r>
            <w:r w:rsidRPr="002B195C">
              <w:rPr>
                <w:rFonts w:ascii="Arial" w:eastAsia="Times New Roman" w:hAnsi="Arial" w:cs="Arial"/>
                <w:color w:val="231F20"/>
                <w:w w:val="105"/>
                <w:sz w:val="20"/>
                <w:szCs w:val="20"/>
              </w:rPr>
              <w:t>the</w:t>
            </w:r>
            <w:r w:rsidRPr="002B195C">
              <w:rPr>
                <w:rFonts w:ascii="Arial" w:eastAsia="Times New Roman" w:hAnsi="Arial" w:cs="Arial"/>
                <w:color w:val="231F20"/>
                <w:spacing w:val="9"/>
                <w:w w:val="105"/>
                <w:sz w:val="20"/>
                <w:szCs w:val="20"/>
              </w:rPr>
              <w:t xml:space="preserve"> </w:t>
            </w:r>
            <w:r w:rsidR="00376848" w:rsidRPr="002B195C">
              <w:rPr>
                <w:rFonts w:ascii="Arial" w:eastAsia="Times New Roman" w:hAnsi="Arial" w:cs="Arial"/>
                <w:color w:val="231F20"/>
                <w:spacing w:val="9"/>
                <w:w w:val="105"/>
                <w:sz w:val="20"/>
                <w:szCs w:val="20"/>
              </w:rPr>
              <w:t>2</w:t>
            </w:r>
            <w:r w:rsidR="00FA040A" w:rsidRPr="002B195C">
              <w:rPr>
                <w:rFonts w:ascii="Arial" w:eastAsia="Times New Roman" w:hAnsi="Arial" w:cs="Arial"/>
                <w:color w:val="231F20"/>
                <w:spacing w:val="9"/>
                <w:w w:val="105"/>
                <w:sz w:val="20"/>
                <w:szCs w:val="20"/>
              </w:rPr>
              <w:t>nd</w:t>
            </w:r>
            <w:r w:rsidR="00E22E9C" w:rsidRPr="002B195C">
              <w:rPr>
                <w:rFonts w:ascii="Arial" w:eastAsia="Times New Roman" w:hAnsi="Arial" w:cs="Arial"/>
                <w:color w:val="231F20"/>
                <w:spacing w:val="9"/>
                <w:w w:val="105"/>
                <w:sz w:val="20"/>
                <w:szCs w:val="20"/>
              </w:rPr>
              <w:t xml:space="preserve"> </w:t>
            </w:r>
            <w:r w:rsidRPr="002B195C">
              <w:rPr>
                <w:rFonts w:ascii="Arial" w:eastAsia="Times New Roman" w:hAnsi="Arial" w:cs="Arial"/>
                <w:color w:val="231F20"/>
                <w:spacing w:val="1"/>
                <w:w w:val="105"/>
                <w:sz w:val="20"/>
                <w:szCs w:val="20"/>
              </w:rPr>
              <w:t>da</w:t>
            </w:r>
            <w:r w:rsidRPr="002B195C">
              <w:rPr>
                <w:rFonts w:ascii="Arial" w:eastAsia="Times New Roman" w:hAnsi="Arial" w:cs="Arial"/>
                <w:color w:val="231F20"/>
                <w:w w:val="105"/>
                <w:sz w:val="20"/>
                <w:szCs w:val="20"/>
              </w:rPr>
              <w:t>y</w:t>
            </w:r>
            <w:r w:rsidRPr="002B195C">
              <w:rPr>
                <w:rFonts w:ascii="Arial" w:eastAsia="Times New Roman" w:hAnsi="Arial" w:cs="Arial"/>
                <w:color w:val="231F20"/>
                <w:spacing w:val="10"/>
                <w:w w:val="105"/>
                <w:sz w:val="20"/>
                <w:szCs w:val="20"/>
              </w:rPr>
              <w:t xml:space="preserve"> </w:t>
            </w:r>
            <w:r w:rsidRPr="002B195C">
              <w:rPr>
                <w:rFonts w:ascii="Arial" w:eastAsia="Times New Roman" w:hAnsi="Arial" w:cs="Arial"/>
                <w:color w:val="231F20"/>
                <w:w w:val="105"/>
                <w:sz w:val="20"/>
                <w:szCs w:val="20"/>
              </w:rPr>
              <w:t>of</w:t>
            </w:r>
            <w:r w:rsidRPr="002B195C">
              <w:rPr>
                <w:rFonts w:ascii="Arial" w:eastAsia="Times New Roman" w:hAnsi="Arial" w:cs="Arial"/>
                <w:color w:val="231F20"/>
                <w:spacing w:val="9"/>
                <w:w w:val="105"/>
                <w:sz w:val="20"/>
                <w:szCs w:val="20"/>
              </w:rPr>
              <w:t xml:space="preserve"> </w:t>
            </w:r>
            <w:r w:rsidRPr="002B195C">
              <w:rPr>
                <w:rFonts w:ascii="Arial" w:eastAsia="Times New Roman" w:hAnsi="Arial" w:cs="Arial"/>
                <w:color w:val="231F20"/>
                <w:w w:val="105"/>
                <w:sz w:val="20"/>
                <w:szCs w:val="20"/>
              </w:rPr>
              <w:t>cou</w:t>
            </w:r>
            <w:r w:rsidRPr="002B195C">
              <w:rPr>
                <w:rFonts w:ascii="Arial" w:eastAsia="Times New Roman" w:hAnsi="Arial" w:cs="Arial"/>
                <w:color w:val="231F20"/>
                <w:spacing w:val="3"/>
                <w:w w:val="105"/>
                <w:sz w:val="20"/>
                <w:szCs w:val="20"/>
              </w:rPr>
              <w:t>r</w:t>
            </w:r>
            <w:r w:rsidRPr="002B195C">
              <w:rPr>
                <w:rFonts w:ascii="Arial" w:eastAsia="Times New Roman" w:hAnsi="Arial" w:cs="Arial"/>
                <w:color w:val="231F20"/>
                <w:spacing w:val="1"/>
                <w:w w:val="105"/>
                <w:sz w:val="20"/>
                <w:szCs w:val="20"/>
              </w:rPr>
              <w:t>se</w:t>
            </w:r>
            <w:r w:rsidR="00376848" w:rsidRPr="002B195C">
              <w:rPr>
                <w:rFonts w:ascii="Arial" w:eastAsia="Times New Roman" w:hAnsi="Arial" w:cs="Arial"/>
                <w:color w:val="231F20"/>
                <w:spacing w:val="1"/>
                <w:w w:val="105"/>
                <w:sz w:val="20"/>
                <w:szCs w:val="20"/>
              </w:rPr>
              <w:t xml:space="preserve"> </w:t>
            </w:r>
          </w:p>
        </w:tc>
        <w:tc>
          <w:tcPr>
            <w:tcW w:w="3402" w:type="dxa"/>
            <w:tcBorders>
              <w:top w:val="single" w:sz="2" w:space="0" w:color="231F20"/>
              <w:left w:val="single" w:sz="2" w:space="0" w:color="231F20"/>
              <w:bottom w:val="single" w:sz="2" w:space="0" w:color="231F20"/>
              <w:right w:val="single" w:sz="4" w:space="0" w:color="auto"/>
            </w:tcBorders>
          </w:tcPr>
          <w:p w14:paraId="7C7B216F" w14:textId="74D69461" w:rsidR="001F4A60" w:rsidRPr="002B195C" w:rsidRDefault="00F86994" w:rsidP="00CE436D">
            <w:pPr>
              <w:kinsoku w:val="0"/>
              <w:overflowPunct w:val="0"/>
              <w:autoSpaceDE w:val="0"/>
              <w:autoSpaceDN w:val="0"/>
              <w:adjustRightInd w:val="0"/>
              <w:spacing w:before="120" w:after="120"/>
              <w:ind w:left="309"/>
              <w:rPr>
                <w:rFonts w:ascii="Arial" w:eastAsia="Times New Roman" w:hAnsi="Arial" w:cs="Arial"/>
                <w:sz w:val="20"/>
                <w:szCs w:val="20"/>
              </w:rPr>
            </w:pPr>
            <w:r w:rsidRPr="002B195C">
              <w:rPr>
                <w:rFonts w:ascii="Arial" w:eastAsia="Times New Roman" w:hAnsi="Arial" w:cs="Arial"/>
                <w:color w:val="231F20"/>
                <w:spacing w:val="1"/>
                <w:w w:val="110"/>
                <w:sz w:val="20"/>
                <w:szCs w:val="20"/>
              </w:rPr>
              <w:t>5</w:t>
            </w:r>
            <w:r w:rsidR="00376848" w:rsidRPr="002B195C">
              <w:rPr>
                <w:rFonts w:ascii="Arial" w:eastAsia="Times New Roman" w:hAnsi="Arial" w:cs="Arial"/>
                <w:color w:val="231F20"/>
                <w:spacing w:val="1"/>
                <w:w w:val="110"/>
                <w:sz w:val="20"/>
                <w:szCs w:val="20"/>
              </w:rPr>
              <w:t>0</w:t>
            </w:r>
            <w:r w:rsidR="00376848" w:rsidRPr="002B195C">
              <w:rPr>
                <w:rFonts w:ascii="Arial" w:eastAsia="Times New Roman" w:hAnsi="Arial" w:cs="Arial"/>
                <w:color w:val="231F20"/>
                <w:w w:val="110"/>
                <w:sz w:val="20"/>
                <w:szCs w:val="20"/>
              </w:rPr>
              <w:t>%</w:t>
            </w:r>
            <w:r w:rsidR="00376848" w:rsidRPr="002B195C">
              <w:rPr>
                <w:rFonts w:ascii="Arial" w:eastAsia="Times New Roman" w:hAnsi="Arial" w:cs="Arial"/>
                <w:color w:val="231F20"/>
                <w:spacing w:val="-10"/>
                <w:w w:val="110"/>
                <w:sz w:val="20"/>
                <w:szCs w:val="20"/>
              </w:rPr>
              <w:t xml:space="preserve"> </w:t>
            </w:r>
            <w:r w:rsidR="00376848" w:rsidRPr="002B195C">
              <w:rPr>
                <w:rFonts w:ascii="Arial" w:eastAsia="Times New Roman" w:hAnsi="Arial" w:cs="Arial"/>
                <w:color w:val="231F20"/>
                <w:w w:val="110"/>
                <w:sz w:val="20"/>
                <w:szCs w:val="20"/>
              </w:rPr>
              <w:t>of</w:t>
            </w:r>
            <w:r w:rsidR="00376848" w:rsidRPr="002B195C">
              <w:rPr>
                <w:rFonts w:ascii="Arial" w:eastAsia="Times New Roman" w:hAnsi="Arial" w:cs="Arial"/>
                <w:color w:val="231F20"/>
                <w:spacing w:val="-10"/>
                <w:w w:val="110"/>
                <w:sz w:val="20"/>
                <w:szCs w:val="20"/>
              </w:rPr>
              <w:t xml:space="preserve"> </w:t>
            </w:r>
            <w:r w:rsidR="00376848" w:rsidRPr="002B195C">
              <w:rPr>
                <w:rFonts w:ascii="Arial" w:eastAsia="Times New Roman" w:hAnsi="Arial" w:cs="Arial"/>
                <w:color w:val="231F20"/>
                <w:spacing w:val="1"/>
                <w:w w:val="110"/>
                <w:sz w:val="20"/>
                <w:szCs w:val="20"/>
              </w:rPr>
              <w:t>tota</w:t>
            </w:r>
            <w:r w:rsidR="00376848" w:rsidRPr="002B195C">
              <w:rPr>
                <w:rFonts w:ascii="Arial" w:eastAsia="Times New Roman" w:hAnsi="Arial" w:cs="Arial"/>
                <w:color w:val="231F20"/>
                <w:w w:val="110"/>
                <w:sz w:val="20"/>
                <w:szCs w:val="20"/>
              </w:rPr>
              <w:t>l</w:t>
            </w:r>
            <w:r w:rsidR="00376848" w:rsidRPr="002B195C">
              <w:rPr>
                <w:rFonts w:ascii="Arial" w:eastAsia="Times New Roman" w:hAnsi="Arial" w:cs="Arial"/>
                <w:color w:val="231F20"/>
                <w:spacing w:val="-10"/>
                <w:w w:val="110"/>
                <w:sz w:val="20"/>
                <w:szCs w:val="20"/>
              </w:rPr>
              <w:t xml:space="preserve"> </w:t>
            </w:r>
            <w:r w:rsidR="00376848" w:rsidRPr="002B195C">
              <w:rPr>
                <w:rFonts w:ascii="Arial" w:eastAsia="Times New Roman" w:hAnsi="Arial" w:cs="Arial"/>
                <w:color w:val="231F20"/>
                <w:spacing w:val="1"/>
                <w:w w:val="110"/>
                <w:sz w:val="20"/>
                <w:szCs w:val="20"/>
              </w:rPr>
              <w:t>fee</w:t>
            </w:r>
            <w:r w:rsidR="00376848" w:rsidRPr="002B195C">
              <w:rPr>
                <w:rFonts w:ascii="Arial" w:eastAsia="Times New Roman" w:hAnsi="Arial" w:cs="Arial"/>
                <w:color w:val="231F20"/>
                <w:w w:val="110"/>
                <w:sz w:val="20"/>
                <w:szCs w:val="20"/>
              </w:rPr>
              <w:t>s</w:t>
            </w:r>
            <w:r w:rsidR="00376848" w:rsidRPr="002B195C">
              <w:rPr>
                <w:rFonts w:ascii="Arial" w:eastAsia="Times New Roman" w:hAnsi="Arial" w:cs="Arial"/>
                <w:color w:val="231F20"/>
                <w:spacing w:val="-9"/>
                <w:w w:val="110"/>
                <w:sz w:val="20"/>
                <w:szCs w:val="20"/>
              </w:rPr>
              <w:t xml:space="preserve"> </w:t>
            </w:r>
            <w:r w:rsidR="00376848" w:rsidRPr="002B195C">
              <w:rPr>
                <w:rFonts w:ascii="Arial" w:eastAsia="Times New Roman" w:hAnsi="Arial" w:cs="Arial"/>
                <w:color w:val="231F20"/>
                <w:spacing w:val="1"/>
                <w:w w:val="110"/>
                <w:sz w:val="20"/>
                <w:szCs w:val="20"/>
              </w:rPr>
              <w:t xml:space="preserve">paid </w:t>
            </w:r>
          </w:p>
        </w:tc>
      </w:tr>
      <w:tr w:rsidR="001F4A60" w:rsidRPr="002B195C" w14:paraId="1EFF036D" w14:textId="77777777" w:rsidTr="00CE436D">
        <w:trPr>
          <w:trHeight w:hRule="exact" w:val="398"/>
        </w:trPr>
        <w:tc>
          <w:tcPr>
            <w:tcW w:w="2830" w:type="dxa"/>
            <w:vMerge/>
            <w:tcBorders>
              <w:left w:val="single" w:sz="2" w:space="0" w:color="231F20"/>
              <w:bottom w:val="single" w:sz="2" w:space="0" w:color="231F20"/>
              <w:right w:val="single" w:sz="2" w:space="0" w:color="231F20"/>
            </w:tcBorders>
          </w:tcPr>
          <w:p w14:paraId="1E036F7B" w14:textId="77777777" w:rsidR="001F4A60" w:rsidRPr="002B195C" w:rsidRDefault="001F4A60" w:rsidP="00CE436D">
            <w:pPr>
              <w:autoSpaceDE w:val="0"/>
              <w:autoSpaceDN w:val="0"/>
              <w:adjustRightInd w:val="0"/>
              <w:spacing w:before="120" w:after="120"/>
              <w:rPr>
                <w:rFonts w:ascii="Arial" w:eastAsia="Times New Roman" w:hAnsi="Arial" w:cs="Arial"/>
                <w:sz w:val="20"/>
                <w:szCs w:val="20"/>
              </w:rPr>
            </w:pPr>
          </w:p>
        </w:tc>
        <w:tc>
          <w:tcPr>
            <w:tcW w:w="3969" w:type="dxa"/>
            <w:tcBorders>
              <w:top w:val="single" w:sz="2" w:space="0" w:color="231F20"/>
              <w:left w:val="single" w:sz="2" w:space="0" w:color="231F20"/>
              <w:bottom w:val="single" w:sz="2" w:space="0" w:color="231F20"/>
              <w:right w:val="single" w:sz="2" w:space="0" w:color="231F20"/>
            </w:tcBorders>
          </w:tcPr>
          <w:p w14:paraId="04D8764A" w14:textId="77777777" w:rsidR="001F4A60" w:rsidRPr="002B195C" w:rsidRDefault="001F4A60" w:rsidP="00CE436D">
            <w:pPr>
              <w:kinsoku w:val="0"/>
              <w:overflowPunct w:val="0"/>
              <w:autoSpaceDE w:val="0"/>
              <w:autoSpaceDN w:val="0"/>
              <w:adjustRightInd w:val="0"/>
              <w:spacing w:before="120" w:after="120"/>
              <w:ind w:left="271"/>
              <w:rPr>
                <w:rFonts w:ascii="Arial" w:eastAsia="Times New Roman" w:hAnsi="Arial" w:cs="Arial"/>
                <w:sz w:val="20"/>
                <w:szCs w:val="20"/>
              </w:rPr>
            </w:pPr>
            <w:r w:rsidRPr="002B195C">
              <w:rPr>
                <w:rFonts w:ascii="Arial" w:eastAsia="Times New Roman" w:hAnsi="Arial" w:cs="Arial"/>
                <w:color w:val="231F20"/>
                <w:w w:val="105"/>
                <w:sz w:val="20"/>
                <w:szCs w:val="20"/>
              </w:rPr>
              <w:t>A</w:t>
            </w:r>
            <w:r w:rsidRPr="002B195C">
              <w:rPr>
                <w:rFonts w:ascii="Arial" w:eastAsia="Times New Roman" w:hAnsi="Arial" w:cs="Arial"/>
                <w:color w:val="231F20"/>
                <w:spacing w:val="-3"/>
                <w:w w:val="105"/>
                <w:sz w:val="20"/>
                <w:szCs w:val="20"/>
              </w:rPr>
              <w:t>f</w:t>
            </w:r>
            <w:r w:rsidRPr="002B195C">
              <w:rPr>
                <w:rFonts w:ascii="Arial" w:eastAsia="Times New Roman" w:hAnsi="Arial" w:cs="Arial"/>
                <w:color w:val="231F20"/>
                <w:w w:val="105"/>
                <w:sz w:val="20"/>
                <w:szCs w:val="20"/>
              </w:rPr>
              <w:t>ter</w:t>
            </w:r>
            <w:r w:rsidRPr="002B195C">
              <w:rPr>
                <w:rFonts w:ascii="Arial" w:eastAsia="Times New Roman" w:hAnsi="Arial" w:cs="Arial"/>
                <w:color w:val="231F20"/>
                <w:spacing w:val="10"/>
                <w:w w:val="105"/>
                <w:sz w:val="20"/>
                <w:szCs w:val="20"/>
              </w:rPr>
              <w:t xml:space="preserve"> </w:t>
            </w:r>
            <w:r w:rsidR="00E22E9C" w:rsidRPr="002B195C">
              <w:rPr>
                <w:rFonts w:ascii="Arial" w:eastAsia="Times New Roman" w:hAnsi="Arial" w:cs="Arial"/>
                <w:color w:val="231F20"/>
                <w:spacing w:val="10"/>
                <w:w w:val="105"/>
                <w:sz w:val="20"/>
                <w:szCs w:val="20"/>
              </w:rPr>
              <w:t xml:space="preserve">the second </w:t>
            </w:r>
            <w:r w:rsidRPr="002B195C">
              <w:rPr>
                <w:rFonts w:ascii="Arial" w:eastAsia="Times New Roman" w:hAnsi="Arial" w:cs="Arial"/>
                <w:color w:val="231F20"/>
                <w:spacing w:val="1"/>
                <w:w w:val="105"/>
                <w:sz w:val="20"/>
                <w:szCs w:val="20"/>
              </w:rPr>
              <w:t>day</w:t>
            </w:r>
          </w:p>
        </w:tc>
        <w:tc>
          <w:tcPr>
            <w:tcW w:w="3402" w:type="dxa"/>
            <w:tcBorders>
              <w:top w:val="single" w:sz="2" w:space="0" w:color="231F20"/>
              <w:left w:val="single" w:sz="2" w:space="0" w:color="231F20"/>
              <w:bottom w:val="single" w:sz="2" w:space="0" w:color="231F20"/>
              <w:right w:val="single" w:sz="4" w:space="0" w:color="auto"/>
            </w:tcBorders>
          </w:tcPr>
          <w:p w14:paraId="7F3E959F" w14:textId="77777777" w:rsidR="001F4A60" w:rsidRPr="002B195C" w:rsidRDefault="001F4A60" w:rsidP="00CE436D">
            <w:pPr>
              <w:kinsoku w:val="0"/>
              <w:overflowPunct w:val="0"/>
              <w:autoSpaceDE w:val="0"/>
              <w:autoSpaceDN w:val="0"/>
              <w:adjustRightInd w:val="0"/>
              <w:spacing w:before="120" w:after="120"/>
              <w:ind w:left="309"/>
              <w:rPr>
                <w:rFonts w:ascii="Arial" w:eastAsia="Times New Roman" w:hAnsi="Arial" w:cs="Arial"/>
                <w:sz w:val="20"/>
                <w:szCs w:val="20"/>
              </w:rPr>
            </w:pPr>
            <w:r w:rsidRPr="002B195C">
              <w:rPr>
                <w:rFonts w:ascii="Arial" w:eastAsia="Times New Roman" w:hAnsi="Arial" w:cs="Arial"/>
                <w:color w:val="231F20"/>
                <w:spacing w:val="1"/>
                <w:w w:val="110"/>
                <w:sz w:val="20"/>
                <w:szCs w:val="20"/>
              </w:rPr>
              <w:t>N</w:t>
            </w:r>
            <w:r w:rsidRPr="002B195C">
              <w:rPr>
                <w:rFonts w:ascii="Arial" w:eastAsia="Times New Roman" w:hAnsi="Arial" w:cs="Arial"/>
                <w:color w:val="231F20"/>
                <w:w w:val="110"/>
                <w:sz w:val="20"/>
                <w:szCs w:val="20"/>
              </w:rPr>
              <w:t>o</w:t>
            </w:r>
            <w:r w:rsidRPr="002B195C">
              <w:rPr>
                <w:rFonts w:ascii="Arial" w:eastAsia="Times New Roman" w:hAnsi="Arial" w:cs="Arial"/>
                <w:color w:val="231F20"/>
                <w:spacing w:val="-6"/>
                <w:w w:val="110"/>
                <w:sz w:val="20"/>
                <w:szCs w:val="20"/>
              </w:rPr>
              <w:t xml:space="preserve"> </w:t>
            </w:r>
            <w:r w:rsidRPr="002B195C">
              <w:rPr>
                <w:rFonts w:ascii="Arial" w:eastAsia="Times New Roman" w:hAnsi="Arial" w:cs="Arial"/>
                <w:color w:val="231F20"/>
                <w:spacing w:val="1"/>
                <w:w w:val="110"/>
                <w:sz w:val="20"/>
                <w:szCs w:val="20"/>
              </w:rPr>
              <w:t>refund</w:t>
            </w:r>
          </w:p>
        </w:tc>
      </w:tr>
      <w:tr w:rsidR="001F4A60" w:rsidRPr="002B195C" w14:paraId="44AC0B91" w14:textId="77777777" w:rsidTr="00376848">
        <w:trPr>
          <w:trHeight w:hRule="exact" w:val="579"/>
        </w:trPr>
        <w:tc>
          <w:tcPr>
            <w:tcW w:w="2830" w:type="dxa"/>
            <w:vMerge w:val="restart"/>
            <w:tcBorders>
              <w:top w:val="single" w:sz="2" w:space="0" w:color="231F20"/>
              <w:left w:val="single" w:sz="2" w:space="0" w:color="231F20"/>
              <w:right w:val="single" w:sz="2" w:space="0" w:color="231F20"/>
            </w:tcBorders>
          </w:tcPr>
          <w:p w14:paraId="38334071" w14:textId="2E0D488A" w:rsidR="001F4A60" w:rsidRPr="002B195C" w:rsidRDefault="00CF1135" w:rsidP="00CE436D">
            <w:pPr>
              <w:kinsoku w:val="0"/>
              <w:overflowPunct w:val="0"/>
              <w:autoSpaceDE w:val="0"/>
              <w:autoSpaceDN w:val="0"/>
              <w:adjustRightInd w:val="0"/>
              <w:spacing w:before="120" w:after="120"/>
              <w:ind w:left="393"/>
              <w:rPr>
                <w:rFonts w:ascii="Arial" w:eastAsia="Times New Roman" w:hAnsi="Arial" w:cs="Arial"/>
                <w:sz w:val="20"/>
                <w:szCs w:val="20"/>
              </w:rPr>
            </w:pPr>
            <w:r w:rsidRPr="002B195C">
              <w:rPr>
                <w:rFonts w:ascii="Arial" w:eastAsia="Times New Roman" w:hAnsi="Arial" w:cs="Arial"/>
                <w:color w:val="231F20"/>
                <w:sz w:val="20"/>
                <w:szCs w:val="20"/>
              </w:rPr>
              <w:t xml:space="preserve">Courses of </w:t>
            </w:r>
            <w:r w:rsidR="00376848" w:rsidRPr="002B195C">
              <w:rPr>
                <w:rFonts w:ascii="Arial" w:eastAsia="Times New Roman" w:hAnsi="Arial" w:cs="Arial"/>
                <w:color w:val="231F20"/>
                <w:sz w:val="20"/>
                <w:szCs w:val="20"/>
              </w:rPr>
              <w:t>5</w:t>
            </w:r>
            <w:r w:rsidR="001F4A60" w:rsidRPr="002B195C">
              <w:rPr>
                <w:rFonts w:ascii="Arial" w:eastAsia="Times New Roman" w:hAnsi="Arial" w:cs="Arial"/>
                <w:color w:val="231F20"/>
                <w:spacing w:val="20"/>
                <w:sz w:val="20"/>
                <w:szCs w:val="20"/>
              </w:rPr>
              <w:t xml:space="preserve"> </w:t>
            </w:r>
            <w:r w:rsidR="001F4A60" w:rsidRPr="002B195C">
              <w:rPr>
                <w:rFonts w:ascii="Arial" w:eastAsia="Times New Roman" w:hAnsi="Arial" w:cs="Arial"/>
                <w:color w:val="231F20"/>
                <w:sz w:val="20"/>
                <w:szCs w:val="20"/>
              </w:rPr>
              <w:t>-</w:t>
            </w:r>
            <w:r w:rsidR="001F4A60" w:rsidRPr="002B195C">
              <w:rPr>
                <w:rFonts w:ascii="Arial" w:eastAsia="Times New Roman" w:hAnsi="Arial" w:cs="Arial"/>
                <w:color w:val="231F20"/>
                <w:spacing w:val="20"/>
                <w:sz w:val="20"/>
                <w:szCs w:val="20"/>
              </w:rPr>
              <w:t xml:space="preserve"> </w:t>
            </w:r>
            <w:r w:rsidR="001F4A60" w:rsidRPr="002B195C">
              <w:rPr>
                <w:rFonts w:ascii="Arial" w:eastAsia="Times New Roman" w:hAnsi="Arial" w:cs="Arial"/>
                <w:color w:val="231F20"/>
                <w:spacing w:val="-1"/>
                <w:sz w:val="20"/>
                <w:szCs w:val="20"/>
              </w:rPr>
              <w:t>1</w:t>
            </w:r>
            <w:r w:rsidR="001F4A60" w:rsidRPr="002B195C">
              <w:rPr>
                <w:rFonts w:ascii="Arial" w:eastAsia="Times New Roman" w:hAnsi="Arial" w:cs="Arial"/>
                <w:color w:val="231F20"/>
                <w:sz w:val="20"/>
                <w:szCs w:val="20"/>
              </w:rPr>
              <w:t>3</w:t>
            </w:r>
            <w:r w:rsidR="001F4A60" w:rsidRPr="002B195C">
              <w:rPr>
                <w:rFonts w:ascii="Arial" w:eastAsia="Times New Roman" w:hAnsi="Arial" w:cs="Arial"/>
                <w:color w:val="231F20"/>
                <w:spacing w:val="20"/>
                <w:sz w:val="20"/>
                <w:szCs w:val="20"/>
              </w:rPr>
              <w:t xml:space="preserve"> </w:t>
            </w:r>
            <w:r w:rsidR="001F4A60" w:rsidRPr="002B195C">
              <w:rPr>
                <w:rFonts w:ascii="Arial" w:eastAsia="Times New Roman" w:hAnsi="Arial" w:cs="Arial"/>
                <w:color w:val="231F20"/>
                <w:sz w:val="20"/>
                <w:szCs w:val="20"/>
              </w:rPr>
              <w:t>weeks</w:t>
            </w:r>
            <w:r w:rsidR="001F4A60" w:rsidRPr="002B195C">
              <w:rPr>
                <w:rFonts w:ascii="Arial" w:eastAsia="Times New Roman" w:hAnsi="Arial" w:cs="Arial"/>
                <w:color w:val="231F20"/>
                <w:spacing w:val="20"/>
                <w:sz w:val="20"/>
                <w:szCs w:val="20"/>
              </w:rPr>
              <w:t xml:space="preserve"> </w:t>
            </w:r>
            <w:r w:rsidR="001F4A60" w:rsidRPr="002B195C">
              <w:rPr>
                <w:rFonts w:ascii="Arial" w:eastAsia="Times New Roman" w:hAnsi="Arial" w:cs="Arial"/>
                <w:color w:val="231F20"/>
                <w:spacing w:val="1"/>
                <w:sz w:val="20"/>
                <w:szCs w:val="20"/>
              </w:rPr>
              <w:t>(</w:t>
            </w:r>
            <w:r w:rsidR="001F4A60" w:rsidRPr="002B195C">
              <w:rPr>
                <w:rFonts w:ascii="Arial" w:eastAsia="Times New Roman" w:hAnsi="Arial" w:cs="Arial"/>
                <w:color w:val="231F20"/>
                <w:sz w:val="20"/>
                <w:szCs w:val="20"/>
              </w:rPr>
              <w:t>3</w:t>
            </w:r>
            <w:r w:rsidR="001F4A60" w:rsidRPr="002B195C">
              <w:rPr>
                <w:rFonts w:ascii="Arial" w:eastAsia="Times New Roman" w:hAnsi="Arial" w:cs="Arial"/>
                <w:color w:val="231F20"/>
                <w:spacing w:val="20"/>
                <w:sz w:val="20"/>
                <w:szCs w:val="20"/>
              </w:rPr>
              <w:t xml:space="preserve"> </w:t>
            </w:r>
            <w:r w:rsidR="001F4A60" w:rsidRPr="002B195C">
              <w:rPr>
                <w:rFonts w:ascii="Arial" w:eastAsia="Times New Roman" w:hAnsi="Arial" w:cs="Arial"/>
                <w:color w:val="231F20"/>
                <w:sz w:val="20"/>
                <w:szCs w:val="20"/>
              </w:rPr>
              <w:t>months)</w:t>
            </w:r>
          </w:p>
        </w:tc>
        <w:tc>
          <w:tcPr>
            <w:tcW w:w="3969" w:type="dxa"/>
            <w:tcBorders>
              <w:top w:val="single" w:sz="2" w:space="0" w:color="231F20"/>
              <w:left w:val="single" w:sz="2" w:space="0" w:color="231F20"/>
              <w:bottom w:val="single" w:sz="2" w:space="0" w:color="231F20"/>
              <w:right w:val="single" w:sz="2" w:space="0" w:color="231F20"/>
            </w:tcBorders>
          </w:tcPr>
          <w:p w14:paraId="213C12B5" w14:textId="621F0624" w:rsidR="001F4A60" w:rsidRPr="002B195C" w:rsidRDefault="001F4A60" w:rsidP="00CE436D">
            <w:pPr>
              <w:kinsoku w:val="0"/>
              <w:overflowPunct w:val="0"/>
              <w:autoSpaceDE w:val="0"/>
              <w:autoSpaceDN w:val="0"/>
              <w:adjustRightInd w:val="0"/>
              <w:spacing w:before="120" w:after="120"/>
              <w:ind w:left="271"/>
              <w:rPr>
                <w:rFonts w:ascii="Arial" w:eastAsia="Times New Roman" w:hAnsi="Arial" w:cs="Arial"/>
                <w:sz w:val="20"/>
                <w:szCs w:val="20"/>
              </w:rPr>
            </w:pPr>
            <w:r w:rsidRPr="002B195C">
              <w:rPr>
                <w:rFonts w:ascii="Arial" w:eastAsia="Times New Roman" w:hAnsi="Arial" w:cs="Arial"/>
                <w:color w:val="231F20"/>
                <w:spacing w:val="1"/>
                <w:w w:val="105"/>
                <w:sz w:val="20"/>
                <w:szCs w:val="20"/>
              </w:rPr>
              <w:t>Befor</w:t>
            </w:r>
            <w:r w:rsidRPr="002B195C">
              <w:rPr>
                <w:rFonts w:ascii="Arial" w:eastAsia="Times New Roman" w:hAnsi="Arial" w:cs="Arial"/>
                <w:color w:val="231F20"/>
                <w:w w:val="105"/>
                <w:sz w:val="20"/>
                <w:szCs w:val="20"/>
              </w:rPr>
              <w:t>e</w:t>
            </w:r>
            <w:r w:rsidRPr="002B195C">
              <w:rPr>
                <w:rFonts w:ascii="Arial" w:eastAsia="Times New Roman" w:hAnsi="Arial" w:cs="Arial"/>
                <w:color w:val="231F20"/>
                <w:spacing w:val="13"/>
                <w:w w:val="105"/>
                <w:sz w:val="20"/>
                <w:szCs w:val="20"/>
              </w:rPr>
              <w:t xml:space="preserve"> </w:t>
            </w:r>
            <w:r w:rsidRPr="002B195C">
              <w:rPr>
                <w:rFonts w:ascii="Arial" w:eastAsia="Times New Roman" w:hAnsi="Arial" w:cs="Arial"/>
                <w:color w:val="231F20"/>
                <w:w w:val="105"/>
                <w:sz w:val="20"/>
                <w:szCs w:val="20"/>
              </w:rPr>
              <w:t>the</w:t>
            </w:r>
            <w:r w:rsidRPr="002B195C">
              <w:rPr>
                <w:rFonts w:ascii="Arial" w:eastAsia="Times New Roman" w:hAnsi="Arial" w:cs="Arial"/>
                <w:color w:val="231F20"/>
                <w:spacing w:val="13"/>
                <w:w w:val="105"/>
                <w:sz w:val="20"/>
                <w:szCs w:val="20"/>
              </w:rPr>
              <w:t xml:space="preserve"> </w:t>
            </w:r>
            <w:r w:rsidRPr="002B195C">
              <w:rPr>
                <w:rFonts w:ascii="Arial" w:eastAsia="Times New Roman" w:hAnsi="Arial" w:cs="Arial"/>
                <w:color w:val="231F20"/>
                <w:spacing w:val="1"/>
                <w:w w:val="105"/>
                <w:sz w:val="20"/>
                <w:szCs w:val="20"/>
              </w:rPr>
              <w:t>en</w:t>
            </w:r>
            <w:r w:rsidRPr="002B195C">
              <w:rPr>
                <w:rFonts w:ascii="Arial" w:eastAsia="Times New Roman" w:hAnsi="Arial" w:cs="Arial"/>
                <w:color w:val="231F20"/>
                <w:w w:val="105"/>
                <w:sz w:val="20"/>
                <w:szCs w:val="20"/>
              </w:rPr>
              <w:t>d</w:t>
            </w:r>
            <w:r w:rsidRPr="002B195C">
              <w:rPr>
                <w:rFonts w:ascii="Arial" w:eastAsia="Times New Roman" w:hAnsi="Arial" w:cs="Arial"/>
                <w:color w:val="231F20"/>
                <w:spacing w:val="13"/>
                <w:w w:val="105"/>
                <w:sz w:val="20"/>
                <w:szCs w:val="20"/>
              </w:rPr>
              <w:t xml:space="preserve"> </w:t>
            </w:r>
            <w:r w:rsidRPr="002B195C">
              <w:rPr>
                <w:rFonts w:ascii="Arial" w:eastAsia="Times New Roman" w:hAnsi="Arial" w:cs="Arial"/>
                <w:color w:val="231F20"/>
                <w:w w:val="105"/>
                <w:sz w:val="20"/>
                <w:szCs w:val="20"/>
              </w:rPr>
              <w:t>of</w:t>
            </w:r>
            <w:r w:rsidRPr="002B195C">
              <w:rPr>
                <w:rFonts w:ascii="Arial" w:eastAsia="Times New Roman" w:hAnsi="Arial" w:cs="Arial"/>
                <w:color w:val="231F20"/>
                <w:spacing w:val="13"/>
                <w:w w:val="105"/>
                <w:sz w:val="20"/>
                <w:szCs w:val="20"/>
              </w:rPr>
              <w:t xml:space="preserve"> </w:t>
            </w:r>
            <w:r w:rsidRPr="002B195C">
              <w:rPr>
                <w:rFonts w:ascii="Arial" w:eastAsia="Times New Roman" w:hAnsi="Arial" w:cs="Arial"/>
                <w:color w:val="231F20"/>
                <w:w w:val="105"/>
                <w:sz w:val="20"/>
                <w:szCs w:val="20"/>
              </w:rPr>
              <w:t>the</w:t>
            </w:r>
            <w:r w:rsidRPr="002B195C">
              <w:rPr>
                <w:rFonts w:ascii="Arial" w:eastAsia="Times New Roman" w:hAnsi="Arial" w:cs="Arial"/>
                <w:color w:val="231F20"/>
                <w:spacing w:val="13"/>
                <w:w w:val="105"/>
                <w:sz w:val="20"/>
                <w:szCs w:val="20"/>
              </w:rPr>
              <w:t xml:space="preserve"> </w:t>
            </w:r>
            <w:r w:rsidR="00376848" w:rsidRPr="002B195C">
              <w:rPr>
                <w:rFonts w:ascii="Arial" w:eastAsia="Times New Roman" w:hAnsi="Arial" w:cs="Arial"/>
                <w:color w:val="231F20"/>
                <w:spacing w:val="13"/>
                <w:w w:val="105"/>
                <w:sz w:val="20"/>
                <w:szCs w:val="20"/>
              </w:rPr>
              <w:t>5</w:t>
            </w:r>
            <w:r w:rsidR="00376848" w:rsidRPr="002B195C">
              <w:rPr>
                <w:rFonts w:ascii="Arial" w:eastAsia="Times New Roman" w:hAnsi="Arial" w:cs="Arial"/>
                <w:color w:val="231F20"/>
                <w:spacing w:val="13"/>
                <w:w w:val="105"/>
                <w:sz w:val="20"/>
                <w:szCs w:val="20"/>
                <w:vertAlign w:val="superscript"/>
              </w:rPr>
              <w:t>th</w:t>
            </w:r>
            <w:r w:rsidR="00376848" w:rsidRPr="002B195C">
              <w:rPr>
                <w:rFonts w:ascii="Arial" w:eastAsia="Times New Roman" w:hAnsi="Arial" w:cs="Arial"/>
                <w:color w:val="231F20"/>
                <w:spacing w:val="13"/>
                <w:w w:val="105"/>
                <w:sz w:val="20"/>
                <w:szCs w:val="20"/>
              </w:rPr>
              <w:t xml:space="preserve"> </w:t>
            </w:r>
            <w:r w:rsidRPr="002B195C">
              <w:rPr>
                <w:rFonts w:ascii="Arial" w:eastAsia="Times New Roman" w:hAnsi="Arial" w:cs="Arial"/>
                <w:color w:val="231F20"/>
                <w:spacing w:val="1"/>
                <w:w w:val="105"/>
                <w:sz w:val="20"/>
                <w:szCs w:val="20"/>
              </w:rPr>
              <w:t>da</w:t>
            </w:r>
            <w:r w:rsidRPr="002B195C">
              <w:rPr>
                <w:rFonts w:ascii="Arial" w:eastAsia="Times New Roman" w:hAnsi="Arial" w:cs="Arial"/>
                <w:color w:val="231F20"/>
                <w:w w:val="105"/>
                <w:sz w:val="20"/>
                <w:szCs w:val="20"/>
              </w:rPr>
              <w:t>y</w:t>
            </w:r>
            <w:r w:rsidRPr="002B195C">
              <w:rPr>
                <w:rFonts w:ascii="Arial" w:eastAsia="Times New Roman" w:hAnsi="Arial" w:cs="Arial"/>
                <w:color w:val="231F20"/>
                <w:spacing w:val="13"/>
                <w:w w:val="105"/>
                <w:sz w:val="20"/>
                <w:szCs w:val="20"/>
              </w:rPr>
              <w:t xml:space="preserve"> </w:t>
            </w:r>
            <w:r w:rsidRPr="002B195C">
              <w:rPr>
                <w:rFonts w:ascii="Arial" w:eastAsia="Times New Roman" w:hAnsi="Arial" w:cs="Arial"/>
                <w:color w:val="231F20"/>
                <w:w w:val="105"/>
                <w:sz w:val="20"/>
                <w:szCs w:val="20"/>
              </w:rPr>
              <w:t>of</w:t>
            </w:r>
            <w:r w:rsidRPr="002B195C">
              <w:rPr>
                <w:rFonts w:ascii="Arial" w:eastAsia="Times New Roman" w:hAnsi="Arial" w:cs="Arial"/>
                <w:color w:val="231F20"/>
                <w:spacing w:val="13"/>
                <w:w w:val="105"/>
                <w:sz w:val="20"/>
                <w:szCs w:val="20"/>
              </w:rPr>
              <w:t xml:space="preserve"> </w:t>
            </w:r>
            <w:r w:rsidR="00E22E9C" w:rsidRPr="002B195C">
              <w:rPr>
                <w:rFonts w:ascii="Arial" w:eastAsia="Times New Roman" w:hAnsi="Arial" w:cs="Arial"/>
                <w:color w:val="231F20"/>
                <w:spacing w:val="13"/>
                <w:w w:val="105"/>
                <w:sz w:val="20"/>
                <w:szCs w:val="20"/>
              </w:rPr>
              <w:t xml:space="preserve">the </w:t>
            </w:r>
            <w:r w:rsidRPr="002B195C">
              <w:rPr>
                <w:rFonts w:ascii="Arial" w:eastAsia="Times New Roman" w:hAnsi="Arial" w:cs="Arial"/>
                <w:color w:val="231F20"/>
                <w:w w:val="105"/>
                <w:sz w:val="20"/>
                <w:szCs w:val="20"/>
              </w:rPr>
              <w:t>cou</w:t>
            </w:r>
            <w:r w:rsidRPr="002B195C">
              <w:rPr>
                <w:rFonts w:ascii="Arial" w:eastAsia="Times New Roman" w:hAnsi="Arial" w:cs="Arial"/>
                <w:color w:val="231F20"/>
                <w:spacing w:val="3"/>
                <w:w w:val="105"/>
                <w:sz w:val="20"/>
                <w:szCs w:val="20"/>
              </w:rPr>
              <w:t>r</w:t>
            </w:r>
            <w:r w:rsidRPr="002B195C">
              <w:rPr>
                <w:rFonts w:ascii="Arial" w:eastAsia="Times New Roman" w:hAnsi="Arial" w:cs="Arial"/>
                <w:color w:val="231F20"/>
                <w:spacing w:val="1"/>
                <w:w w:val="105"/>
                <w:sz w:val="20"/>
                <w:szCs w:val="20"/>
              </w:rPr>
              <w:t>se</w:t>
            </w:r>
          </w:p>
        </w:tc>
        <w:tc>
          <w:tcPr>
            <w:tcW w:w="3402" w:type="dxa"/>
            <w:tcBorders>
              <w:top w:val="single" w:sz="2" w:space="0" w:color="231F20"/>
              <w:left w:val="single" w:sz="2" w:space="0" w:color="231F20"/>
              <w:bottom w:val="single" w:sz="2" w:space="0" w:color="231F20"/>
              <w:right w:val="single" w:sz="4" w:space="0" w:color="auto"/>
            </w:tcBorders>
          </w:tcPr>
          <w:p w14:paraId="18A67390" w14:textId="5B3B8963" w:rsidR="001F4A60" w:rsidRPr="002B195C" w:rsidRDefault="00CF37EC" w:rsidP="00CE436D">
            <w:pPr>
              <w:kinsoku w:val="0"/>
              <w:overflowPunct w:val="0"/>
              <w:autoSpaceDE w:val="0"/>
              <w:autoSpaceDN w:val="0"/>
              <w:adjustRightInd w:val="0"/>
              <w:spacing w:before="120" w:after="120"/>
              <w:ind w:left="309"/>
              <w:rPr>
                <w:rFonts w:ascii="Arial" w:eastAsia="Times New Roman" w:hAnsi="Arial" w:cs="Arial"/>
                <w:sz w:val="20"/>
                <w:szCs w:val="20"/>
              </w:rPr>
            </w:pPr>
            <w:r w:rsidRPr="002B195C">
              <w:rPr>
                <w:rFonts w:ascii="Arial" w:eastAsia="Times New Roman" w:hAnsi="Arial" w:cs="Arial"/>
                <w:color w:val="231F20"/>
                <w:spacing w:val="1"/>
                <w:w w:val="110"/>
                <w:sz w:val="20"/>
                <w:szCs w:val="20"/>
              </w:rPr>
              <w:t>75</w:t>
            </w:r>
            <w:r w:rsidRPr="002B195C">
              <w:rPr>
                <w:rFonts w:ascii="Arial" w:eastAsia="Times New Roman" w:hAnsi="Arial" w:cs="Arial"/>
                <w:color w:val="231F20"/>
                <w:w w:val="110"/>
                <w:sz w:val="20"/>
                <w:szCs w:val="20"/>
              </w:rPr>
              <w:t>%</w:t>
            </w:r>
            <w:r w:rsidRPr="002B195C">
              <w:rPr>
                <w:rFonts w:ascii="Arial" w:eastAsia="Times New Roman" w:hAnsi="Arial" w:cs="Arial"/>
                <w:color w:val="231F20"/>
                <w:spacing w:val="-10"/>
                <w:w w:val="110"/>
                <w:sz w:val="20"/>
                <w:szCs w:val="20"/>
              </w:rPr>
              <w:t xml:space="preserve"> </w:t>
            </w:r>
            <w:r w:rsidRPr="002B195C">
              <w:rPr>
                <w:rFonts w:ascii="Arial" w:eastAsia="Times New Roman" w:hAnsi="Arial" w:cs="Arial"/>
                <w:color w:val="231F20"/>
                <w:w w:val="110"/>
                <w:sz w:val="20"/>
                <w:szCs w:val="20"/>
              </w:rPr>
              <w:t>of</w:t>
            </w:r>
            <w:r w:rsidRPr="002B195C">
              <w:rPr>
                <w:rFonts w:ascii="Arial" w:eastAsia="Times New Roman" w:hAnsi="Arial" w:cs="Arial"/>
                <w:color w:val="231F20"/>
                <w:spacing w:val="-10"/>
                <w:w w:val="110"/>
                <w:sz w:val="20"/>
                <w:szCs w:val="20"/>
              </w:rPr>
              <w:t xml:space="preserve"> </w:t>
            </w:r>
            <w:r w:rsidRPr="002B195C">
              <w:rPr>
                <w:rFonts w:ascii="Arial" w:eastAsia="Times New Roman" w:hAnsi="Arial" w:cs="Arial"/>
                <w:color w:val="231F20"/>
                <w:spacing w:val="1"/>
                <w:w w:val="110"/>
                <w:sz w:val="20"/>
                <w:szCs w:val="20"/>
              </w:rPr>
              <w:t>tota</w:t>
            </w:r>
            <w:r w:rsidRPr="002B195C">
              <w:rPr>
                <w:rFonts w:ascii="Arial" w:eastAsia="Times New Roman" w:hAnsi="Arial" w:cs="Arial"/>
                <w:color w:val="231F20"/>
                <w:w w:val="110"/>
                <w:sz w:val="20"/>
                <w:szCs w:val="20"/>
              </w:rPr>
              <w:t>l</w:t>
            </w:r>
            <w:r w:rsidRPr="002B195C">
              <w:rPr>
                <w:rFonts w:ascii="Arial" w:eastAsia="Times New Roman" w:hAnsi="Arial" w:cs="Arial"/>
                <w:color w:val="231F20"/>
                <w:spacing w:val="-10"/>
                <w:w w:val="110"/>
                <w:sz w:val="20"/>
                <w:szCs w:val="20"/>
              </w:rPr>
              <w:t xml:space="preserve"> </w:t>
            </w:r>
            <w:r w:rsidRPr="002B195C">
              <w:rPr>
                <w:rFonts w:ascii="Arial" w:eastAsia="Times New Roman" w:hAnsi="Arial" w:cs="Arial"/>
                <w:color w:val="231F20"/>
                <w:spacing w:val="1"/>
                <w:w w:val="110"/>
                <w:sz w:val="20"/>
                <w:szCs w:val="20"/>
              </w:rPr>
              <w:t>fee</w:t>
            </w:r>
            <w:r w:rsidRPr="002B195C">
              <w:rPr>
                <w:rFonts w:ascii="Arial" w:eastAsia="Times New Roman" w:hAnsi="Arial" w:cs="Arial"/>
                <w:color w:val="231F20"/>
                <w:w w:val="110"/>
                <w:sz w:val="20"/>
                <w:szCs w:val="20"/>
              </w:rPr>
              <w:t>s</w:t>
            </w:r>
            <w:r w:rsidRPr="002B195C">
              <w:rPr>
                <w:rFonts w:ascii="Arial" w:eastAsia="Times New Roman" w:hAnsi="Arial" w:cs="Arial"/>
                <w:color w:val="231F20"/>
                <w:spacing w:val="-9"/>
                <w:w w:val="110"/>
                <w:sz w:val="20"/>
                <w:szCs w:val="20"/>
              </w:rPr>
              <w:t xml:space="preserve"> </w:t>
            </w:r>
            <w:r w:rsidRPr="002B195C">
              <w:rPr>
                <w:rFonts w:ascii="Arial" w:eastAsia="Times New Roman" w:hAnsi="Arial" w:cs="Arial"/>
                <w:color w:val="231F20"/>
                <w:spacing w:val="1"/>
                <w:w w:val="110"/>
                <w:sz w:val="20"/>
                <w:szCs w:val="20"/>
              </w:rPr>
              <w:t xml:space="preserve">paid </w:t>
            </w:r>
          </w:p>
        </w:tc>
      </w:tr>
      <w:tr w:rsidR="001F4A60" w:rsidRPr="002B195C" w14:paraId="7BFB7ABE" w14:textId="77777777" w:rsidTr="00CE436D">
        <w:trPr>
          <w:trHeight w:hRule="exact" w:val="412"/>
        </w:trPr>
        <w:tc>
          <w:tcPr>
            <w:tcW w:w="2830" w:type="dxa"/>
            <w:vMerge/>
            <w:tcBorders>
              <w:left w:val="single" w:sz="2" w:space="0" w:color="231F20"/>
              <w:bottom w:val="single" w:sz="2" w:space="0" w:color="231F20"/>
              <w:right w:val="single" w:sz="2" w:space="0" w:color="231F20"/>
            </w:tcBorders>
          </w:tcPr>
          <w:p w14:paraId="1744929E" w14:textId="77777777" w:rsidR="001F4A60" w:rsidRPr="002B195C" w:rsidRDefault="001F4A60" w:rsidP="00CE436D">
            <w:pPr>
              <w:autoSpaceDE w:val="0"/>
              <w:autoSpaceDN w:val="0"/>
              <w:adjustRightInd w:val="0"/>
              <w:spacing w:before="120" w:after="120"/>
              <w:rPr>
                <w:rFonts w:ascii="Arial" w:eastAsia="Times New Roman" w:hAnsi="Arial" w:cs="Arial"/>
                <w:sz w:val="20"/>
                <w:szCs w:val="20"/>
              </w:rPr>
            </w:pPr>
          </w:p>
        </w:tc>
        <w:tc>
          <w:tcPr>
            <w:tcW w:w="3969" w:type="dxa"/>
            <w:tcBorders>
              <w:top w:val="single" w:sz="2" w:space="0" w:color="231F20"/>
              <w:left w:val="single" w:sz="2" w:space="0" w:color="231F20"/>
              <w:bottom w:val="single" w:sz="2" w:space="0" w:color="231F20"/>
              <w:right w:val="single" w:sz="2" w:space="0" w:color="231F20"/>
            </w:tcBorders>
          </w:tcPr>
          <w:p w14:paraId="3CB9822D" w14:textId="59BFE27B" w:rsidR="001F4A60" w:rsidRPr="002B195C" w:rsidRDefault="001F4A60" w:rsidP="00CE436D">
            <w:pPr>
              <w:kinsoku w:val="0"/>
              <w:overflowPunct w:val="0"/>
              <w:autoSpaceDE w:val="0"/>
              <w:autoSpaceDN w:val="0"/>
              <w:adjustRightInd w:val="0"/>
              <w:spacing w:before="120" w:after="120"/>
              <w:ind w:left="271"/>
              <w:rPr>
                <w:rFonts w:ascii="Arial" w:eastAsia="Times New Roman" w:hAnsi="Arial" w:cs="Arial"/>
                <w:sz w:val="20"/>
                <w:szCs w:val="20"/>
              </w:rPr>
            </w:pPr>
            <w:r w:rsidRPr="002B195C">
              <w:rPr>
                <w:rFonts w:ascii="Arial" w:eastAsia="Times New Roman" w:hAnsi="Arial" w:cs="Arial"/>
                <w:color w:val="231F20"/>
                <w:w w:val="105"/>
                <w:sz w:val="20"/>
                <w:szCs w:val="20"/>
              </w:rPr>
              <w:t>A</w:t>
            </w:r>
            <w:r w:rsidRPr="002B195C">
              <w:rPr>
                <w:rFonts w:ascii="Arial" w:eastAsia="Times New Roman" w:hAnsi="Arial" w:cs="Arial"/>
                <w:color w:val="231F20"/>
                <w:spacing w:val="-3"/>
                <w:w w:val="105"/>
                <w:sz w:val="20"/>
                <w:szCs w:val="20"/>
              </w:rPr>
              <w:t>f</w:t>
            </w:r>
            <w:r w:rsidRPr="002B195C">
              <w:rPr>
                <w:rFonts w:ascii="Arial" w:eastAsia="Times New Roman" w:hAnsi="Arial" w:cs="Arial"/>
                <w:color w:val="231F20"/>
                <w:w w:val="105"/>
                <w:sz w:val="20"/>
                <w:szCs w:val="20"/>
              </w:rPr>
              <w:t>ter</w:t>
            </w:r>
            <w:r w:rsidRPr="002B195C">
              <w:rPr>
                <w:rFonts w:ascii="Arial" w:eastAsia="Times New Roman" w:hAnsi="Arial" w:cs="Arial"/>
                <w:color w:val="231F20"/>
                <w:spacing w:val="14"/>
                <w:w w:val="105"/>
                <w:sz w:val="20"/>
                <w:szCs w:val="20"/>
              </w:rPr>
              <w:t xml:space="preserve"> </w:t>
            </w:r>
            <w:r w:rsidRPr="002B195C">
              <w:rPr>
                <w:rFonts w:ascii="Arial" w:eastAsia="Times New Roman" w:hAnsi="Arial" w:cs="Arial"/>
                <w:color w:val="231F20"/>
                <w:w w:val="105"/>
                <w:sz w:val="20"/>
                <w:szCs w:val="20"/>
              </w:rPr>
              <w:t>the</w:t>
            </w:r>
            <w:r w:rsidRPr="002B195C">
              <w:rPr>
                <w:rFonts w:ascii="Arial" w:eastAsia="Times New Roman" w:hAnsi="Arial" w:cs="Arial"/>
                <w:color w:val="231F20"/>
                <w:spacing w:val="15"/>
                <w:w w:val="105"/>
                <w:sz w:val="20"/>
                <w:szCs w:val="20"/>
              </w:rPr>
              <w:t xml:space="preserve"> </w:t>
            </w:r>
            <w:r w:rsidR="00FC1698" w:rsidRPr="002B195C">
              <w:rPr>
                <w:rFonts w:ascii="Arial" w:eastAsia="Times New Roman" w:hAnsi="Arial" w:cs="Arial"/>
                <w:color w:val="231F20"/>
                <w:spacing w:val="15"/>
                <w:w w:val="105"/>
                <w:sz w:val="20"/>
                <w:szCs w:val="20"/>
              </w:rPr>
              <w:t>5</w:t>
            </w:r>
            <w:r w:rsidR="00FC1698" w:rsidRPr="002B195C">
              <w:rPr>
                <w:rFonts w:ascii="Arial" w:eastAsia="Times New Roman" w:hAnsi="Arial" w:cs="Arial"/>
                <w:color w:val="231F20"/>
                <w:spacing w:val="15"/>
                <w:w w:val="105"/>
                <w:sz w:val="20"/>
                <w:szCs w:val="20"/>
                <w:vertAlign w:val="superscript"/>
              </w:rPr>
              <w:t>th</w:t>
            </w:r>
            <w:r w:rsidR="00FC1698" w:rsidRPr="002B195C">
              <w:rPr>
                <w:rFonts w:ascii="Arial" w:eastAsia="Times New Roman" w:hAnsi="Arial" w:cs="Arial"/>
                <w:color w:val="231F20"/>
                <w:spacing w:val="15"/>
                <w:w w:val="105"/>
                <w:sz w:val="20"/>
                <w:szCs w:val="20"/>
              </w:rPr>
              <w:t xml:space="preserve"> day </w:t>
            </w:r>
          </w:p>
        </w:tc>
        <w:tc>
          <w:tcPr>
            <w:tcW w:w="3402" w:type="dxa"/>
            <w:tcBorders>
              <w:top w:val="single" w:sz="2" w:space="0" w:color="231F20"/>
              <w:left w:val="single" w:sz="2" w:space="0" w:color="231F20"/>
              <w:bottom w:val="single" w:sz="2" w:space="0" w:color="231F20"/>
              <w:right w:val="single" w:sz="4" w:space="0" w:color="auto"/>
            </w:tcBorders>
          </w:tcPr>
          <w:p w14:paraId="33C3DCD4" w14:textId="77777777" w:rsidR="001F4A60" w:rsidRPr="002B195C" w:rsidRDefault="001F4A60" w:rsidP="00CE436D">
            <w:pPr>
              <w:kinsoku w:val="0"/>
              <w:overflowPunct w:val="0"/>
              <w:autoSpaceDE w:val="0"/>
              <w:autoSpaceDN w:val="0"/>
              <w:adjustRightInd w:val="0"/>
              <w:spacing w:before="120" w:after="120"/>
              <w:ind w:left="309"/>
              <w:rPr>
                <w:rFonts w:ascii="Arial" w:eastAsia="Times New Roman" w:hAnsi="Arial" w:cs="Arial"/>
                <w:sz w:val="20"/>
                <w:szCs w:val="20"/>
              </w:rPr>
            </w:pPr>
            <w:r w:rsidRPr="002B195C">
              <w:rPr>
                <w:rFonts w:ascii="Arial" w:eastAsia="Times New Roman" w:hAnsi="Arial" w:cs="Arial"/>
                <w:color w:val="231F20"/>
                <w:spacing w:val="1"/>
                <w:w w:val="110"/>
                <w:sz w:val="20"/>
                <w:szCs w:val="20"/>
              </w:rPr>
              <w:t>N</w:t>
            </w:r>
            <w:r w:rsidRPr="002B195C">
              <w:rPr>
                <w:rFonts w:ascii="Arial" w:eastAsia="Times New Roman" w:hAnsi="Arial" w:cs="Arial"/>
                <w:color w:val="231F20"/>
                <w:w w:val="110"/>
                <w:sz w:val="20"/>
                <w:szCs w:val="20"/>
              </w:rPr>
              <w:t>o</w:t>
            </w:r>
            <w:r w:rsidRPr="002B195C">
              <w:rPr>
                <w:rFonts w:ascii="Arial" w:eastAsia="Times New Roman" w:hAnsi="Arial" w:cs="Arial"/>
                <w:color w:val="231F20"/>
                <w:spacing w:val="-6"/>
                <w:w w:val="110"/>
                <w:sz w:val="20"/>
                <w:szCs w:val="20"/>
              </w:rPr>
              <w:t xml:space="preserve"> </w:t>
            </w:r>
            <w:r w:rsidRPr="002B195C">
              <w:rPr>
                <w:rFonts w:ascii="Arial" w:eastAsia="Times New Roman" w:hAnsi="Arial" w:cs="Arial"/>
                <w:color w:val="231F20"/>
                <w:spacing w:val="1"/>
                <w:w w:val="110"/>
                <w:sz w:val="20"/>
                <w:szCs w:val="20"/>
              </w:rPr>
              <w:t>refund</w:t>
            </w:r>
          </w:p>
        </w:tc>
      </w:tr>
      <w:tr w:rsidR="001F4A60" w:rsidRPr="002B195C" w14:paraId="3BA331EB" w14:textId="77777777" w:rsidTr="00FC1698">
        <w:trPr>
          <w:trHeight w:hRule="exact" w:val="1000"/>
        </w:trPr>
        <w:tc>
          <w:tcPr>
            <w:tcW w:w="2830" w:type="dxa"/>
            <w:tcBorders>
              <w:top w:val="single" w:sz="2" w:space="0" w:color="231F20"/>
              <w:left w:val="single" w:sz="2" w:space="0" w:color="231F20"/>
              <w:right w:val="single" w:sz="2" w:space="0" w:color="231F20"/>
            </w:tcBorders>
          </w:tcPr>
          <w:p w14:paraId="79A0C108" w14:textId="684908BC" w:rsidR="001F4A60" w:rsidRPr="002B195C" w:rsidRDefault="00CF1135" w:rsidP="00CE436D">
            <w:pPr>
              <w:kinsoku w:val="0"/>
              <w:overflowPunct w:val="0"/>
              <w:autoSpaceDE w:val="0"/>
              <w:autoSpaceDN w:val="0"/>
              <w:adjustRightInd w:val="0"/>
              <w:spacing w:before="120" w:after="120"/>
              <w:ind w:left="393"/>
              <w:rPr>
                <w:rFonts w:ascii="Arial" w:eastAsia="Times New Roman" w:hAnsi="Arial" w:cs="Arial"/>
                <w:sz w:val="20"/>
                <w:szCs w:val="20"/>
              </w:rPr>
            </w:pPr>
            <w:bookmarkStart w:id="33" w:name="_Hlk103328286"/>
            <w:r w:rsidRPr="002B195C">
              <w:rPr>
                <w:rFonts w:ascii="Arial" w:eastAsia="Times New Roman" w:hAnsi="Arial" w:cs="Arial"/>
                <w:color w:val="231F20"/>
                <w:w w:val="105"/>
                <w:sz w:val="20"/>
                <w:szCs w:val="20"/>
              </w:rPr>
              <w:t xml:space="preserve">Courses of </w:t>
            </w:r>
            <w:r w:rsidR="001F4A60" w:rsidRPr="002B195C">
              <w:rPr>
                <w:rFonts w:ascii="Arial" w:eastAsia="Times New Roman" w:hAnsi="Arial" w:cs="Arial"/>
                <w:color w:val="231F20"/>
                <w:w w:val="105"/>
                <w:sz w:val="20"/>
                <w:szCs w:val="20"/>
              </w:rPr>
              <w:t>than</w:t>
            </w:r>
            <w:r w:rsidR="001F4A60" w:rsidRPr="002B195C">
              <w:rPr>
                <w:rFonts w:ascii="Arial" w:eastAsia="Times New Roman" w:hAnsi="Arial" w:cs="Arial"/>
                <w:color w:val="231F20"/>
                <w:spacing w:val="8"/>
                <w:w w:val="105"/>
                <w:sz w:val="20"/>
                <w:szCs w:val="20"/>
              </w:rPr>
              <w:t xml:space="preserve"> </w:t>
            </w:r>
            <w:r w:rsidR="001F4A60" w:rsidRPr="002B195C">
              <w:rPr>
                <w:rFonts w:ascii="Arial" w:eastAsia="Times New Roman" w:hAnsi="Arial" w:cs="Arial"/>
                <w:color w:val="231F20"/>
                <w:spacing w:val="-2"/>
                <w:w w:val="105"/>
                <w:sz w:val="20"/>
                <w:szCs w:val="20"/>
              </w:rPr>
              <w:t>1</w:t>
            </w:r>
            <w:r w:rsidR="001F4A60" w:rsidRPr="002B195C">
              <w:rPr>
                <w:rFonts w:ascii="Arial" w:eastAsia="Times New Roman" w:hAnsi="Arial" w:cs="Arial"/>
                <w:color w:val="231F20"/>
                <w:w w:val="105"/>
                <w:sz w:val="20"/>
                <w:szCs w:val="20"/>
              </w:rPr>
              <w:t>3</w:t>
            </w:r>
            <w:r w:rsidR="001F4A60" w:rsidRPr="002B195C">
              <w:rPr>
                <w:rFonts w:ascii="Arial" w:eastAsia="Times New Roman" w:hAnsi="Arial" w:cs="Arial"/>
                <w:color w:val="231F20"/>
                <w:spacing w:val="8"/>
                <w:w w:val="105"/>
                <w:sz w:val="20"/>
                <w:szCs w:val="20"/>
              </w:rPr>
              <w:t xml:space="preserve"> </w:t>
            </w:r>
            <w:r w:rsidR="001F4A60" w:rsidRPr="002B195C">
              <w:rPr>
                <w:rFonts w:ascii="Arial" w:eastAsia="Times New Roman" w:hAnsi="Arial" w:cs="Arial"/>
                <w:color w:val="231F20"/>
                <w:spacing w:val="1"/>
                <w:w w:val="105"/>
                <w:sz w:val="20"/>
                <w:szCs w:val="20"/>
              </w:rPr>
              <w:t>weeks (3 months)</w:t>
            </w:r>
          </w:p>
        </w:tc>
        <w:tc>
          <w:tcPr>
            <w:tcW w:w="3969" w:type="dxa"/>
            <w:tcBorders>
              <w:top w:val="single" w:sz="2" w:space="0" w:color="231F20"/>
              <w:left w:val="single" w:sz="2" w:space="0" w:color="231F20"/>
              <w:bottom w:val="single" w:sz="2" w:space="0" w:color="231F20"/>
              <w:right w:val="single" w:sz="2" w:space="0" w:color="231F20"/>
            </w:tcBorders>
          </w:tcPr>
          <w:p w14:paraId="271A5368" w14:textId="78956020" w:rsidR="001F4A60" w:rsidRPr="002B195C" w:rsidRDefault="001F4A60" w:rsidP="00CE436D">
            <w:pPr>
              <w:kinsoku w:val="0"/>
              <w:overflowPunct w:val="0"/>
              <w:autoSpaceDE w:val="0"/>
              <w:autoSpaceDN w:val="0"/>
              <w:adjustRightInd w:val="0"/>
              <w:spacing w:before="120" w:after="120"/>
              <w:ind w:left="271"/>
              <w:rPr>
                <w:rFonts w:ascii="Arial" w:eastAsia="Times New Roman" w:hAnsi="Arial" w:cs="Arial"/>
                <w:sz w:val="20"/>
                <w:szCs w:val="20"/>
              </w:rPr>
            </w:pPr>
            <w:r w:rsidRPr="002B195C">
              <w:rPr>
                <w:rFonts w:ascii="Arial" w:eastAsia="Times New Roman" w:hAnsi="Arial" w:cs="Arial"/>
                <w:color w:val="231F20"/>
                <w:spacing w:val="1"/>
                <w:w w:val="110"/>
                <w:sz w:val="20"/>
                <w:szCs w:val="20"/>
              </w:rPr>
              <w:t>Befor</w:t>
            </w:r>
            <w:r w:rsidRPr="002B195C">
              <w:rPr>
                <w:rFonts w:ascii="Arial" w:eastAsia="Times New Roman" w:hAnsi="Arial" w:cs="Arial"/>
                <w:color w:val="231F20"/>
                <w:w w:val="110"/>
                <w:sz w:val="20"/>
                <w:szCs w:val="20"/>
              </w:rPr>
              <w:t>e</w:t>
            </w:r>
            <w:r w:rsidRPr="002B195C">
              <w:rPr>
                <w:rFonts w:ascii="Arial" w:eastAsia="Times New Roman" w:hAnsi="Arial" w:cs="Arial"/>
                <w:color w:val="231F20"/>
                <w:spacing w:val="-6"/>
                <w:w w:val="110"/>
                <w:sz w:val="20"/>
                <w:szCs w:val="20"/>
              </w:rPr>
              <w:t xml:space="preserve"> </w:t>
            </w:r>
            <w:r w:rsidRPr="002B195C">
              <w:rPr>
                <w:rFonts w:ascii="Arial" w:eastAsia="Times New Roman" w:hAnsi="Arial" w:cs="Arial"/>
                <w:color w:val="231F20"/>
                <w:spacing w:val="1"/>
                <w:w w:val="110"/>
                <w:sz w:val="20"/>
                <w:szCs w:val="20"/>
              </w:rPr>
              <w:t>th</w:t>
            </w:r>
            <w:r w:rsidRPr="002B195C">
              <w:rPr>
                <w:rFonts w:ascii="Arial" w:eastAsia="Times New Roman" w:hAnsi="Arial" w:cs="Arial"/>
                <w:color w:val="231F20"/>
                <w:w w:val="110"/>
                <w:sz w:val="20"/>
                <w:szCs w:val="20"/>
              </w:rPr>
              <w:t>e</w:t>
            </w:r>
            <w:r w:rsidRPr="002B195C">
              <w:rPr>
                <w:rFonts w:ascii="Arial" w:eastAsia="Times New Roman" w:hAnsi="Arial" w:cs="Arial"/>
                <w:color w:val="231F20"/>
                <w:spacing w:val="-6"/>
                <w:w w:val="110"/>
                <w:sz w:val="20"/>
                <w:szCs w:val="20"/>
              </w:rPr>
              <w:t xml:space="preserve"> </w:t>
            </w:r>
            <w:r w:rsidRPr="002B195C">
              <w:rPr>
                <w:rFonts w:ascii="Arial" w:eastAsia="Times New Roman" w:hAnsi="Arial" w:cs="Arial"/>
                <w:color w:val="231F20"/>
                <w:spacing w:val="1"/>
                <w:w w:val="110"/>
                <w:sz w:val="20"/>
                <w:szCs w:val="20"/>
              </w:rPr>
              <w:t>en</w:t>
            </w:r>
            <w:r w:rsidRPr="002B195C">
              <w:rPr>
                <w:rFonts w:ascii="Arial" w:eastAsia="Times New Roman" w:hAnsi="Arial" w:cs="Arial"/>
                <w:color w:val="231F20"/>
                <w:w w:val="110"/>
                <w:sz w:val="20"/>
                <w:szCs w:val="20"/>
              </w:rPr>
              <w:t>d</w:t>
            </w:r>
            <w:r w:rsidRPr="002B195C">
              <w:rPr>
                <w:rFonts w:ascii="Arial" w:eastAsia="Times New Roman" w:hAnsi="Arial" w:cs="Arial"/>
                <w:color w:val="231F20"/>
                <w:spacing w:val="-5"/>
                <w:w w:val="110"/>
                <w:sz w:val="20"/>
                <w:szCs w:val="20"/>
              </w:rPr>
              <w:t xml:space="preserve"> </w:t>
            </w:r>
            <w:r w:rsidRPr="002B195C">
              <w:rPr>
                <w:rFonts w:ascii="Arial" w:eastAsia="Times New Roman" w:hAnsi="Arial" w:cs="Arial"/>
                <w:color w:val="231F20"/>
                <w:w w:val="110"/>
                <w:sz w:val="20"/>
                <w:szCs w:val="20"/>
              </w:rPr>
              <w:t>of</w:t>
            </w:r>
            <w:r w:rsidRPr="002B195C">
              <w:rPr>
                <w:rFonts w:ascii="Arial" w:eastAsia="Times New Roman" w:hAnsi="Arial" w:cs="Arial"/>
                <w:color w:val="231F20"/>
                <w:spacing w:val="-6"/>
                <w:w w:val="110"/>
                <w:sz w:val="20"/>
                <w:szCs w:val="20"/>
              </w:rPr>
              <w:t xml:space="preserve"> </w:t>
            </w:r>
            <w:r w:rsidRPr="002B195C">
              <w:rPr>
                <w:rFonts w:ascii="Arial" w:eastAsia="Times New Roman" w:hAnsi="Arial" w:cs="Arial"/>
                <w:color w:val="231F20"/>
                <w:spacing w:val="1"/>
                <w:w w:val="110"/>
                <w:sz w:val="20"/>
                <w:szCs w:val="20"/>
              </w:rPr>
              <w:t>th</w:t>
            </w:r>
            <w:r w:rsidRPr="002B195C">
              <w:rPr>
                <w:rFonts w:ascii="Arial" w:eastAsia="Times New Roman" w:hAnsi="Arial" w:cs="Arial"/>
                <w:color w:val="231F20"/>
                <w:w w:val="110"/>
                <w:sz w:val="20"/>
                <w:szCs w:val="20"/>
              </w:rPr>
              <w:t>e</w:t>
            </w:r>
            <w:r w:rsidRPr="002B195C">
              <w:rPr>
                <w:rFonts w:ascii="Arial" w:eastAsia="Times New Roman" w:hAnsi="Arial" w:cs="Arial"/>
                <w:color w:val="231F20"/>
                <w:spacing w:val="-6"/>
                <w:w w:val="110"/>
                <w:sz w:val="20"/>
                <w:szCs w:val="20"/>
              </w:rPr>
              <w:t xml:space="preserve"> </w:t>
            </w:r>
            <w:r w:rsidR="00FC1698" w:rsidRPr="002B195C">
              <w:rPr>
                <w:rFonts w:ascii="Arial" w:eastAsia="Times New Roman" w:hAnsi="Arial" w:cs="Arial"/>
                <w:color w:val="231F20"/>
                <w:spacing w:val="-6"/>
                <w:w w:val="110"/>
                <w:sz w:val="20"/>
                <w:szCs w:val="20"/>
              </w:rPr>
              <w:t>8</w:t>
            </w:r>
            <w:r w:rsidR="00FC1698" w:rsidRPr="002B195C">
              <w:rPr>
                <w:rFonts w:ascii="Arial" w:eastAsia="Times New Roman" w:hAnsi="Arial" w:cs="Arial"/>
                <w:color w:val="231F20"/>
                <w:spacing w:val="-6"/>
                <w:w w:val="110"/>
                <w:sz w:val="20"/>
                <w:szCs w:val="20"/>
                <w:vertAlign w:val="superscript"/>
              </w:rPr>
              <w:t>th</w:t>
            </w:r>
            <w:r w:rsidR="00FC1698" w:rsidRPr="002B195C">
              <w:rPr>
                <w:rFonts w:ascii="Arial" w:eastAsia="Times New Roman" w:hAnsi="Arial" w:cs="Arial"/>
                <w:color w:val="231F20"/>
                <w:spacing w:val="-6"/>
                <w:w w:val="110"/>
                <w:sz w:val="20"/>
                <w:szCs w:val="20"/>
              </w:rPr>
              <w:t xml:space="preserve"> </w:t>
            </w:r>
            <w:r w:rsidRPr="002B195C">
              <w:rPr>
                <w:rFonts w:ascii="Arial" w:eastAsia="Times New Roman" w:hAnsi="Arial" w:cs="Arial"/>
                <w:color w:val="231F20"/>
                <w:spacing w:val="1"/>
                <w:w w:val="110"/>
                <w:sz w:val="20"/>
                <w:szCs w:val="20"/>
              </w:rPr>
              <w:t>da</w:t>
            </w:r>
            <w:r w:rsidRPr="002B195C">
              <w:rPr>
                <w:rFonts w:ascii="Arial" w:eastAsia="Times New Roman" w:hAnsi="Arial" w:cs="Arial"/>
                <w:color w:val="231F20"/>
                <w:w w:val="110"/>
                <w:sz w:val="20"/>
                <w:szCs w:val="20"/>
              </w:rPr>
              <w:t>y</w:t>
            </w:r>
            <w:r w:rsidRPr="002B195C">
              <w:rPr>
                <w:rFonts w:ascii="Arial" w:eastAsia="Times New Roman" w:hAnsi="Arial" w:cs="Arial"/>
                <w:color w:val="231F20"/>
                <w:spacing w:val="-6"/>
                <w:w w:val="110"/>
                <w:sz w:val="20"/>
                <w:szCs w:val="20"/>
              </w:rPr>
              <w:t xml:space="preserve"> </w:t>
            </w:r>
            <w:r w:rsidRPr="002B195C">
              <w:rPr>
                <w:rFonts w:ascii="Arial" w:eastAsia="Times New Roman" w:hAnsi="Arial" w:cs="Arial"/>
                <w:color w:val="231F20"/>
                <w:w w:val="110"/>
                <w:sz w:val="20"/>
                <w:szCs w:val="20"/>
              </w:rPr>
              <w:t>of</w:t>
            </w:r>
            <w:r w:rsidRPr="002B195C">
              <w:rPr>
                <w:rFonts w:ascii="Arial" w:eastAsia="Times New Roman" w:hAnsi="Arial" w:cs="Arial"/>
                <w:color w:val="231F20"/>
                <w:spacing w:val="-6"/>
                <w:w w:val="110"/>
                <w:sz w:val="20"/>
                <w:szCs w:val="20"/>
              </w:rPr>
              <w:t xml:space="preserve"> </w:t>
            </w:r>
            <w:r w:rsidRPr="002B195C">
              <w:rPr>
                <w:rFonts w:ascii="Arial" w:eastAsia="Times New Roman" w:hAnsi="Arial" w:cs="Arial"/>
                <w:color w:val="231F20"/>
                <w:spacing w:val="1"/>
                <w:w w:val="110"/>
                <w:sz w:val="20"/>
                <w:szCs w:val="20"/>
              </w:rPr>
              <w:t>cou</w:t>
            </w:r>
            <w:r w:rsidRPr="002B195C">
              <w:rPr>
                <w:rFonts w:ascii="Arial" w:eastAsia="Times New Roman" w:hAnsi="Arial" w:cs="Arial"/>
                <w:color w:val="231F20"/>
                <w:spacing w:val="4"/>
                <w:w w:val="110"/>
                <w:sz w:val="20"/>
                <w:szCs w:val="20"/>
              </w:rPr>
              <w:t>r</w:t>
            </w:r>
            <w:r w:rsidRPr="002B195C">
              <w:rPr>
                <w:rFonts w:ascii="Arial" w:eastAsia="Times New Roman" w:hAnsi="Arial" w:cs="Arial"/>
                <w:color w:val="231F20"/>
                <w:spacing w:val="1"/>
                <w:w w:val="110"/>
                <w:sz w:val="20"/>
                <w:szCs w:val="20"/>
              </w:rPr>
              <w:t>se</w:t>
            </w:r>
          </w:p>
        </w:tc>
        <w:tc>
          <w:tcPr>
            <w:tcW w:w="3402" w:type="dxa"/>
            <w:tcBorders>
              <w:top w:val="single" w:sz="2" w:space="0" w:color="231F20"/>
              <w:left w:val="single" w:sz="2" w:space="0" w:color="231F20"/>
              <w:bottom w:val="single" w:sz="2" w:space="0" w:color="231F20"/>
              <w:right w:val="single" w:sz="4" w:space="0" w:color="auto"/>
            </w:tcBorders>
          </w:tcPr>
          <w:p w14:paraId="37FE8E3B" w14:textId="548279FA" w:rsidR="001F4A60" w:rsidRPr="002B195C" w:rsidRDefault="001F4A60" w:rsidP="00CE436D">
            <w:pPr>
              <w:kinsoku w:val="0"/>
              <w:overflowPunct w:val="0"/>
              <w:autoSpaceDE w:val="0"/>
              <w:autoSpaceDN w:val="0"/>
              <w:adjustRightInd w:val="0"/>
              <w:spacing w:before="120" w:after="120" w:line="253" w:lineRule="auto"/>
              <w:ind w:left="309" w:right="518"/>
              <w:rPr>
                <w:rFonts w:ascii="Arial" w:eastAsia="Times New Roman" w:hAnsi="Arial" w:cs="Arial"/>
                <w:sz w:val="20"/>
                <w:szCs w:val="20"/>
              </w:rPr>
            </w:pPr>
            <w:r w:rsidRPr="002B195C">
              <w:rPr>
                <w:rFonts w:ascii="Arial" w:eastAsia="Times New Roman" w:hAnsi="Arial" w:cs="Arial"/>
                <w:color w:val="231F20"/>
                <w:spacing w:val="-3"/>
                <w:w w:val="110"/>
                <w:sz w:val="20"/>
                <w:szCs w:val="20"/>
              </w:rPr>
              <w:t>F</w:t>
            </w:r>
            <w:r w:rsidRPr="002B195C">
              <w:rPr>
                <w:rFonts w:ascii="Arial" w:eastAsia="Times New Roman" w:hAnsi="Arial" w:cs="Arial"/>
                <w:color w:val="231F20"/>
                <w:w w:val="110"/>
                <w:sz w:val="20"/>
                <w:szCs w:val="20"/>
              </w:rPr>
              <w:t>ull</w:t>
            </w:r>
            <w:r w:rsidRPr="002B195C">
              <w:rPr>
                <w:rFonts w:ascii="Arial" w:eastAsia="Times New Roman" w:hAnsi="Arial" w:cs="Arial"/>
                <w:color w:val="231F20"/>
                <w:spacing w:val="-6"/>
                <w:w w:val="110"/>
                <w:sz w:val="20"/>
                <w:szCs w:val="20"/>
              </w:rPr>
              <w:t xml:space="preserve"> </w:t>
            </w:r>
            <w:r w:rsidRPr="002B195C">
              <w:rPr>
                <w:rFonts w:ascii="Arial" w:eastAsia="Times New Roman" w:hAnsi="Arial" w:cs="Arial"/>
                <w:color w:val="231F20"/>
                <w:spacing w:val="1"/>
                <w:w w:val="110"/>
                <w:sz w:val="20"/>
                <w:szCs w:val="20"/>
              </w:rPr>
              <w:t>refun</w:t>
            </w:r>
            <w:r w:rsidRPr="002B195C">
              <w:rPr>
                <w:rFonts w:ascii="Arial" w:eastAsia="Times New Roman" w:hAnsi="Arial" w:cs="Arial"/>
                <w:color w:val="231F20"/>
                <w:w w:val="110"/>
                <w:sz w:val="20"/>
                <w:szCs w:val="20"/>
              </w:rPr>
              <w:t>d</w:t>
            </w:r>
            <w:r w:rsidRPr="002B195C">
              <w:rPr>
                <w:rFonts w:ascii="Arial" w:eastAsia="Times New Roman" w:hAnsi="Arial" w:cs="Arial"/>
                <w:color w:val="231F20"/>
                <w:spacing w:val="-7"/>
                <w:w w:val="110"/>
                <w:sz w:val="20"/>
                <w:szCs w:val="20"/>
              </w:rPr>
              <w:t xml:space="preserve"> of Course Fees</w:t>
            </w:r>
            <w:r w:rsidR="00FC1698" w:rsidRPr="002B195C">
              <w:rPr>
                <w:rFonts w:ascii="Arial" w:eastAsia="Times New Roman" w:hAnsi="Arial" w:cs="Arial"/>
                <w:color w:val="231F20"/>
                <w:spacing w:val="-7"/>
                <w:w w:val="110"/>
                <w:sz w:val="20"/>
                <w:szCs w:val="20"/>
              </w:rPr>
              <w:t>,</w:t>
            </w:r>
            <w:r w:rsidRPr="002B195C">
              <w:rPr>
                <w:rFonts w:ascii="Arial" w:eastAsia="Times New Roman" w:hAnsi="Arial" w:cs="Arial"/>
                <w:color w:val="231F20"/>
                <w:spacing w:val="-7"/>
                <w:w w:val="110"/>
                <w:sz w:val="20"/>
                <w:szCs w:val="20"/>
              </w:rPr>
              <w:t xml:space="preserve"> </w:t>
            </w:r>
            <w:r w:rsidR="00D11707" w:rsidRPr="002B195C">
              <w:rPr>
                <w:rFonts w:ascii="Arial" w:eastAsia="Times New Roman" w:hAnsi="Arial" w:cs="Arial"/>
                <w:color w:val="231F20"/>
                <w:spacing w:val="-7"/>
                <w:w w:val="110"/>
                <w:sz w:val="20"/>
                <w:szCs w:val="20"/>
              </w:rPr>
              <w:t xml:space="preserve">less </w:t>
            </w:r>
            <w:r w:rsidRPr="002B195C">
              <w:rPr>
                <w:rFonts w:ascii="Arial" w:eastAsia="Times New Roman" w:hAnsi="Arial" w:cs="Arial"/>
                <w:color w:val="231F20"/>
                <w:spacing w:val="1"/>
                <w:w w:val="110"/>
                <w:sz w:val="20"/>
                <w:szCs w:val="20"/>
              </w:rPr>
              <w:t>admi</w:t>
            </w:r>
            <w:r w:rsidRPr="002B195C">
              <w:rPr>
                <w:rFonts w:ascii="Arial" w:eastAsia="Times New Roman" w:hAnsi="Arial" w:cs="Arial"/>
                <w:color w:val="231F20"/>
                <w:w w:val="110"/>
                <w:sz w:val="20"/>
                <w:szCs w:val="20"/>
              </w:rPr>
              <w:t>n</w:t>
            </w:r>
            <w:r w:rsidRPr="002B195C">
              <w:rPr>
                <w:rFonts w:ascii="Arial" w:eastAsia="Times New Roman" w:hAnsi="Arial" w:cs="Arial"/>
                <w:color w:val="231F20"/>
                <w:spacing w:val="-6"/>
                <w:w w:val="110"/>
                <w:sz w:val="20"/>
                <w:szCs w:val="20"/>
              </w:rPr>
              <w:t xml:space="preserve"> </w:t>
            </w:r>
            <w:r w:rsidRPr="002B195C">
              <w:rPr>
                <w:rFonts w:ascii="Arial" w:eastAsia="Times New Roman" w:hAnsi="Arial" w:cs="Arial"/>
                <w:color w:val="231F20"/>
                <w:spacing w:val="1"/>
                <w:w w:val="110"/>
                <w:sz w:val="20"/>
                <w:szCs w:val="20"/>
              </w:rPr>
              <w:t>cost</w:t>
            </w:r>
            <w:r w:rsidRPr="002B195C">
              <w:rPr>
                <w:rFonts w:ascii="Arial" w:eastAsia="Times New Roman" w:hAnsi="Arial" w:cs="Arial"/>
                <w:color w:val="231F20"/>
                <w:w w:val="110"/>
                <w:sz w:val="20"/>
                <w:szCs w:val="20"/>
              </w:rPr>
              <w:t>s</w:t>
            </w:r>
            <w:r w:rsidRPr="002B195C">
              <w:rPr>
                <w:rFonts w:ascii="Arial" w:eastAsia="Times New Roman" w:hAnsi="Arial" w:cs="Arial"/>
                <w:color w:val="231F20"/>
                <w:spacing w:val="-6"/>
                <w:w w:val="110"/>
                <w:sz w:val="20"/>
                <w:szCs w:val="20"/>
              </w:rPr>
              <w:t xml:space="preserve"> </w:t>
            </w:r>
            <w:r w:rsidRPr="002B195C">
              <w:rPr>
                <w:rFonts w:ascii="Arial" w:eastAsia="Times New Roman" w:hAnsi="Arial" w:cs="Arial"/>
                <w:color w:val="231F20"/>
                <w:w w:val="110"/>
                <w:sz w:val="20"/>
                <w:szCs w:val="20"/>
              </w:rPr>
              <w:t>of</w:t>
            </w:r>
            <w:r w:rsidRPr="002B195C">
              <w:rPr>
                <w:rFonts w:ascii="Arial" w:eastAsia="Times New Roman" w:hAnsi="Arial" w:cs="Arial"/>
                <w:color w:val="231F20"/>
                <w:spacing w:val="8"/>
                <w:w w:val="110"/>
                <w:sz w:val="20"/>
                <w:szCs w:val="20"/>
              </w:rPr>
              <w:t xml:space="preserve"> </w:t>
            </w:r>
            <w:r w:rsidRPr="002B195C">
              <w:rPr>
                <w:rFonts w:ascii="Arial" w:eastAsia="Times New Roman" w:hAnsi="Arial" w:cs="Arial"/>
                <w:color w:val="231F20"/>
                <w:spacing w:val="-8"/>
                <w:w w:val="110"/>
                <w:sz w:val="20"/>
                <w:szCs w:val="20"/>
              </w:rPr>
              <w:t>1</w:t>
            </w:r>
            <w:r w:rsidRPr="002B195C">
              <w:rPr>
                <w:rFonts w:ascii="Arial" w:eastAsia="Times New Roman" w:hAnsi="Arial" w:cs="Arial"/>
                <w:color w:val="231F20"/>
                <w:spacing w:val="1"/>
                <w:w w:val="110"/>
                <w:sz w:val="20"/>
                <w:szCs w:val="20"/>
              </w:rPr>
              <w:t>0%</w:t>
            </w:r>
            <w:r w:rsidR="00FC1698" w:rsidRPr="002B195C">
              <w:rPr>
                <w:rFonts w:ascii="Arial" w:eastAsia="Times New Roman" w:hAnsi="Arial" w:cs="Arial"/>
                <w:color w:val="231F20"/>
                <w:spacing w:val="1"/>
                <w:w w:val="110"/>
                <w:sz w:val="20"/>
                <w:szCs w:val="20"/>
              </w:rPr>
              <w:t>or $500 whichever is lesser</w:t>
            </w:r>
          </w:p>
        </w:tc>
      </w:tr>
      <w:tr w:rsidR="001F4A60" w:rsidRPr="002B195C" w14:paraId="5FB4FAA3" w14:textId="77777777" w:rsidTr="00CE436D">
        <w:trPr>
          <w:trHeight w:hRule="exact" w:val="418"/>
        </w:trPr>
        <w:tc>
          <w:tcPr>
            <w:tcW w:w="2830" w:type="dxa"/>
            <w:tcBorders>
              <w:left w:val="single" w:sz="2" w:space="0" w:color="231F20"/>
              <w:bottom w:val="single" w:sz="2" w:space="0" w:color="231F20"/>
              <w:right w:val="single" w:sz="2" w:space="0" w:color="231F20"/>
            </w:tcBorders>
          </w:tcPr>
          <w:p w14:paraId="199ABC6C" w14:textId="77777777" w:rsidR="001F4A60" w:rsidRPr="002B195C" w:rsidRDefault="001F4A60" w:rsidP="00CE436D">
            <w:pPr>
              <w:autoSpaceDE w:val="0"/>
              <w:autoSpaceDN w:val="0"/>
              <w:adjustRightInd w:val="0"/>
              <w:spacing w:before="120" w:after="120"/>
              <w:rPr>
                <w:rFonts w:ascii="Arial" w:eastAsia="Times New Roman" w:hAnsi="Arial" w:cs="Arial"/>
                <w:sz w:val="20"/>
                <w:szCs w:val="20"/>
              </w:rPr>
            </w:pPr>
          </w:p>
        </w:tc>
        <w:tc>
          <w:tcPr>
            <w:tcW w:w="3969" w:type="dxa"/>
            <w:tcBorders>
              <w:top w:val="single" w:sz="2" w:space="0" w:color="231F20"/>
              <w:left w:val="single" w:sz="2" w:space="0" w:color="231F20"/>
              <w:bottom w:val="single" w:sz="2" w:space="0" w:color="231F20"/>
              <w:right w:val="single" w:sz="2" w:space="0" w:color="231F20"/>
            </w:tcBorders>
          </w:tcPr>
          <w:p w14:paraId="603B3BD2" w14:textId="4ADED428" w:rsidR="001F4A60" w:rsidRPr="002B195C" w:rsidRDefault="001F4A60" w:rsidP="00CE436D">
            <w:pPr>
              <w:kinsoku w:val="0"/>
              <w:overflowPunct w:val="0"/>
              <w:autoSpaceDE w:val="0"/>
              <w:autoSpaceDN w:val="0"/>
              <w:adjustRightInd w:val="0"/>
              <w:spacing w:before="120" w:after="120"/>
              <w:ind w:left="271"/>
              <w:rPr>
                <w:rFonts w:ascii="Arial" w:eastAsia="Times New Roman" w:hAnsi="Arial" w:cs="Arial"/>
                <w:sz w:val="20"/>
                <w:szCs w:val="20"/>
              </w:rPr>
            </w:pPr>
            <w:r w:rsidRPr="002B195C">
              <w:rPr>
                <w:rFonts w:ascii="Arial" w:eastAsia="Times New Roman" w:hAnsi="Arial" w:cs="Arial"/>
                <w:color w:val="231F20"/>
                <w:spacing w:val="1"/>
                <w:w w:val="110"/>
                <w:sz w:val="20"/>
                <w:szCs w:val="20"/>
              </w:rPr>
              <w:t>A</w:t>
            </w:r>
            <w:r w:rsidRPr="002B195C">
              <w:rPr>
                <w:rFonts w:ascii="Arial" w:eastAsia="Times New Roman" w:hAnsi="Arial" w:cs="Arial"/>
                <w:color w:val="231F20"/>
                <w:spacing w:val="-3"/>
                <w:w w:val="110"/>
                <w:sz w:val="20"/>
                <w:szCs w:val="20"/>
              </w:rPr>
              <w:t>f</w:t>
            </w:r>
            <w:r w:rsidRPr="002B195C">
              <w:rPr>
                <w:rFonts w:ascii="Arial" w:eastAsia="Times New Roman" w:hAnsi="Arial" w:cs="Arial"/>
                <w:color w:val="231F20"/>
                <w:spacing w:val="1"/>
                <w:w w:val="110"/>
                <w:sz w:val="20"/>
                <w:szCs w:val="20"/>
              </w:rPr>
              <w:t>te</w:t>
            </w:r>
            <w:r w:rsidRPr="002B195C">
              <w:rPr>
                <w:rFonts w:ascii="Arial" w:eastAsia="Times New Roman" w:hAnsi="Arial" w:cs="Arial"/>
                <w:color w:val="231F20"/>
                <w:w w:val="110"/>
                <w:sz w:val="20"/>
                <w:szCs w:val="20"/>
              </w:rPr>
              <w:t>r</w:t>
            </w:r>
            <w:r w:rsidRPr="002B195C">
              <w:rPr>
                <w:rFonts w:ascii="Arial" w:eastAsia="Times New Roman" w:hAnsi="Arial" w:cs="Arial"/>
                <w:color w:val="231F20"/>
                <w:spacing w:val="-3"/>
                <w:w w:val="110"/>
                <w:sz w:val="20"/>
                <w:szCs w:val="20"/>
              </w:rPr>
              <w:t xml:space="preserve"> </w:t>
            </w:r>
            <w:r w:rsidR="00FC1698" w:rsidRPr="002B195C">
              <w:rPr>
                <w:rFonts w:ascii="Arial" w:eastAsia="Times New Roman" w:hAnsi="Arial" w:cs="Arial"/>
                <w:color w:val="231F20"/>
                <w:spacing w:val="-3"/>
                <w:w w:val="110"/>
                <w:sz w:val="20"/>
                <w:szCs w:val="20"/>
              </w:rPr>
              <w:t>the 8</w:t>
            </w:r>
            <w:r w:rsidR="00FC1698" w:rsidRPr="002B195C">
              <w:rPr>
                <w:rFonts w:ascii="Arial" w:eastAsia="Times New Roman" w:hAnsi="Arial" w:cs="Arial"/>
                <w:color w:val="231F20"/>
                <w:spacing w:val="-3"/>
                <w:w w:val="110"/>
                <w:sz w:val="20"/>
                <w:szCs w:val="20"/>
                <w:vertAlign w:val="superscript"/>
              </w:rPr>
              <w:t>th</w:t>
            </w:r>
            <w:r w:rsidR="00FC1698" w:rsidRPr="002B195C">
              <w:rPr>
                <w:rFonts w:ascii="Arial" w:eastAsia="Times New Roman" w:hAnsi="Arial" w:cs="Arial"/>
                <w:color w:val="231F20"/>
                <w:spacing w:val="-3"/>
                <w:w w:val="110"/>
                <w:sz w:val="20"/>
                <w:szCs w:val="20"/>
              </w:rPr>
              <w:t xml:space="preserve"> day </w:t>
            </w:r>
          </w:p>
        </w:tc>
        <w:tc>
          <w:tcPr>
            <w:tcW w:w="3402" w:type="dxa"/>
            <w:tcBorders>
              <w:top w:val="single" w:sz="2" w:space="0" w:color="231F20"/>
              <w:left w:val="single" w:sz="2" w:space="0" w:color="231F20"/>
              <w:bottom w:val="single" w:sz="2" w:space="0" w:color="231F20"/>
              <w:right w:val="single" w:sz="4" w:space="0" w:color="auto"/>
            </w:tcBorders>
          </w:tcPr>
          <w:p w14:paraId="5B72D728" w14:textId="636B122D" w:rsidR="001F4A60" w:rsidRPr="002B195C" w:rsidRDefault="001F4A60" w:rsidP="00CE436D">
            <w:pPr>
              <w:kinsoku w:val="0"/>
              <w:overflowPunct w:val="0"/>
              <w:autoSpaceDE w:val="0"/>
              <w:autoSpaceDN w:val="0"/>
              <w:adjustRightInd w:val="0"/>
              <w:spacing w:before="120" w:after="120"/>
              <w:ind w:left="309"/>
              <w:rPr>
                <w:rFonts w:ascii="Arial" w:eastAsia="Times New Roman" w:hAnsi="Arial" w:cs="Arial"/>
                <w:sz w:val="20"/>
                <w:szCs w:val="20"/>
              </w:rPr>
            </w:pPr>
            <w:r w:rsidRPr="002B195C">
              <w:rPr>
                <w:rFonts w:ascii="Arial" w:eastAsia="Times New Roman" w:hAnsi="Arial" w:cs="Arial"/>
                <w:color w:val="231F20"/>
                <w:spacing w:val="1"/>
                <w:w w:val="110"/>
                <w:sz w:val="20"/>
                <w:szCs w:val="20"/>
              </w:rPr>
              <w:t>N</w:t>
            </w:r>
            <w:r w:rsidRPr="002B195C">
              <w:rPr>
                <w:rFonts w:ascii="Arial" w:eastAsia="Times New Roman" w:hAnsi="Arial" w:cs="Arial"/>
                <w:color w:val="231F20"/>
                <w:w w:val="110"/>
                <w:sz w:val="20"/>
                <w:szCs w:val="20"/>
              </w:rPr>
              <w:t>o</w:t>
            </w:r>
            <w:r w:rsidRPr="002B195C">
              <w:rPr>
                <w:rFonts w:ascii="Arial" w:eastAsia="Times New Roman" w:hAnsi="Arial" w:cs="Arial"/>
                <w:color w:val="231F20"/>
                <w:spacing w:val="-6"/>
                <w:w w:val="110"/>
                <w:sz w:val="20"/>
                <w:szCs w:val="20"/>
              </w:rPr>
              <w:t xml:space="preserve"> </w:t>
            </w:r>
            <w:r w:rsidRPr="002B195C">
              <w:rPr>
                <w:rFonts w:ascii="Arial" w:eastAsia="Times New Roman" w:hAnsi="Arial" w:cs="Arial"/>
                <w:color w:val="231F20"/>
                <w:spacing w:val="1"/>
                <w:w w:val="110"/>
                <w:sz w:val="20"/>
                <w:szCs w:val="20"/>
              </w:rPr>
              <w:t>refund</w:t>
            </w:r>
          </w:p>
        </w:tc>
      </w:tr>
      <w:bookmarkEnd w:id="33"/>
    </w:tbl>
    <w:p w14:paraId="13970C2E" w14:textId="77777777" w:rsidR="00996BA3" w:rsidRPr="00032FAF" w:rsidRDefault="00996BA3" w:rsidP="00996BA3">
      <w:pPr>
        <w:pStyle w:val="Heading2No"/>
        <w:numPr>
          <w:ilvl w:val="0"/>
          <w:numId w:val="0"/>
        </w:numPr>
        <w:spacing w:before="300" w:after="160"/>
        <w:ind w:left="360"/>
        <w:rPr>
          <w:rFonts w:cs="Arial"/>
          <w:szCs w:val="20"/>
          <w:lang w:val="en-NZ"/>
        </w:rPr>
      </w:pPr>
    </w:p>
    <w:p w14:paraId="104F5394" w14:textId="77777777" w:rsidR="001B2D2D" w:rsidRPr="00032FAF" w:rsidRDefault="00630FA3" w:rsidP="00766BF9">
      <w:pPr>
        <w:pStyle w:val="Heading2No"/>
        <w:rPr>
          <w:rFonts w:cs="Arial"/>
          <w:szCs w:val="20"/>
          <w:lang w:val="en-NZ"/>
        </w:rPr>
      </w:pPr>
      <w:r w:rsidRPr="00032FAF">
        <w:rPr>
          <w:rFonts w:cs="Arial"/>
          <w:szCs w:val="20"/>
          <w:lang w:val="en-NZ"/>
        </w:rPr>
        <w:t>Refunds on compassionate or exceptional grounds</w:t>
      </w:r>
    </w:p>
    <w:p w14:paraId="4E460C70" w14:textId="29230D26" w:rsidR="001B2D2D" w:rsidRPr="0003653F" w:rsidRDefault="00630FA3" w:rsidP="00766BF9">
      <w:pPr>
        <w:pStyle w:val="BlockNumber"/>
        <w:ind w:left="1587" w:hanging="873"/>
        <w:rPr>
          <w:rFonts w:cs="Arial"/>
          <w:szCs w:val="20"/>
          <w:lang w:val="en-NZ"/>
        </w:rPr>
      </w:pPr>
      <w:r w:rsidRPr="0003653F">
        <w:rPr>
          <w:rFonts w:cs="Arial"/>
          <w:szCs w:val="20"/>
          <w:lang w:val="en-NZ"/>
        </w:rPr>
        <w:t xml:space="preserve">No refunds </w:t>
      </w:r>
      <w:r w:rsidR="00B67CF9" w:rsidRPr="0003653F">
        <w:rPr>
          <w:rFonts w:cs="Arial"/>
          <w:szCs w:val="20"/>
          <w:lang w:val="en-NZ"/>
        </w:rPr>
        <w:t>shall</w:t>
      </w:r>
      <w:r w:rsidRPr="0003653F">
        <w:rPr>
          <w:rFonts w:cs="Arial"/>
          <w:szCs w:val="20"/>
          <w:lang w:val="en-NZ"/>
        </w:rPr>
        <w:t xml:space="preserve"> be made after the refund period</w:t>
      </w:r>
      <w:r w:rsidR="00596566" w:rsidRPr="0003653F">
        <w:rPr>
          <w:rFonts w:cs="Arial"/>
          <w:szCs w:val="20"/>
          <w:lang w:val="en-NZ"/>
        </w:rPr>
        <w:t>s</w:t>
      </w:r>
      <w:r w:rsidR="00A20C27" w:rsidRPr="0003653F">
        <w:rPr>
          <w:rFonts w:cs="Arial"/>
          <w:szCs w:val="20"/>
          <w:lang w:val="en-NZ"/>
        </w:rPr>
        <w:t xml:space="preserve"> stated in the </w:t>
      </w:r>
      <w:r w:rsidR="00893B2F">
        <w:rPr>
          <w:rFonts w:cs="Arial"/>
          <w:i/>
          <w:szCs w:val="20"/>
          <w:lang w:val="en-NZ"/>
        </w:rPr>
        <w:t>Learner</w:t>
      </w:r>
      <w:r w:rsidR="000F19C5" w:rsidRPr="0003653F">
        <w:rPr>
          <w:rFonts w:cs="Arial"/>
          <w:i/>
          <w:szCs w:val="20"/>
          <w:lang w:val="en-NZ"/>
        </w:rPr>
        <w:t xml:space="preserve"> </w:t>
      </w:r>
      <w:r w:rsidR="00B45281" w:rsidRPr="0003653F">
        <w:rPr>
          <w:rFonts w:cs="Arial"/>
          <w:i/>
          <w:szCs w:val="20"/>
          <w:lang w:val="en-NZ"/>
        </w:rPr>
        <w:t>R</w:t>
      </w:r>
      <w:r w:rsidR="00A20C27" w:rsidRPr="0003653F">
        <w:rPr>
          <w:rFonts w:cs="Arial"/>
          <w:i/>
          <w:szCs w:val="20"/>
          <w:lang w:val="en-NZ"/>
        </w:rPr>
        <w:t>egulations</w:t>
      </w:r>
      <w:r w:rsidRPr="0003653F">
        <w:rPr>
          <w:rFonts w:cs="Arial"/>
          <w:szCs w:val="20"/>
          <w:lang w:val="en-NZ"/>
        </w:rPr>
        <w:t xml:space="preserve"> </w:t>
      </w:r>
      <w:r w:rsidR="00FF1C6B" w:rsidRPr="0003653F">
        <w:rPr>
          <w:rFonts w:cs="Arial"/>
          <w:szCs w:val="20"/>
          <w:lang w:val="en-NZ"/>
        </w:rPr>
        <w:t>except on</w:t>
      </w:r>
      <w:r w:rsidR="0009204B" w:rsidRPr="0003653F">
        <w:rPr>
          <w:rFonts w:cs="Arial"/>
          <w:szCs w:val="20"/>
          <w:lang w:val="en-NZ"/>
        </w:rPr>
        <w:t>:</w:t>
      </w:r>
    </w:p>
    <w:p w14:paraId="7057FCF3" w14:textId="0E1028BE" w:rsidR="00736967" w:rsidRPr="0003653F" w:rsidRDefault="00630FA3" w:rsidP="00135CF0">
      <w:pPr>
        <w:pStyle w:val="Bullet1"/>
        <w:tabs>
          <w:tab w:val="clear" w:pos="1494"/>
        </w:tabs>
        <w:ind w:left="2127" w:hanging="426"/>
        <w:rPr>
          <w:rFonts w:cs="Arial"/>
          <w:lang w:val="en-NZ"/>
        </w:rPr>
      </w:pPr>
      <w:r w:rsidRPr="0003653F">
        <w:rPr>
          <w:rFonts w:cs="Arial"/>
          <w:lang w:val="en-NZ"/>
        </w:rPr>
        <w:t xml:space="preserve">Compassionate </w:t>
      </w:r>
      <w:r w:rsidR="00FF1C6B" w:rsidRPr="0003653F">
        <w:rPr>
          <w:rFonts w:cs="Arial"/>
          <w:lang w:val="en-NZ"/>
        </w:rPr>
        <w:t>grounds</w:t>
      </w:r>
      <w:r w:rsidRPr="0003653F">
        <w:rPr>
          <w:rFonts w:cs="Arial"/>
          <w:lang w:val="en-NZ"/>
        </w:rPr>
        <w:t xml:space="preserve"> </w:t>
      </w:r>
      <w:r w:rsidR="00596566" w:rsidRPr="0003653F">
        <w:rPr>
          <w:rFonts w:cs="Arial"/>
          <w:lang w:val="en-NZ"/>
        </w:rPr>
        <w:t>where the</w:t>
      </w:r>
      <w:r w:rsidRPr="0003653F">
        <w:rPr>
          <w:rFonts w:cs="Arial"/>
          <w:lang w:val="en-NZ"/>
        </w:rPr>
        <w:t xml:space="preserve"> </w:t>
      </w:r>
      <w:r w:rsidR="00893B2F">
        <w:rPr>
          <w:rFonts w:cs="Arial"/>
          <w:lang w:val="en-NZ"/>
        </w:rPr>
        <w:t>learner</w:t>
      </w:r>
      <w:r w:rsidRPr="0003653F">
        <w:rPr>
          <w:rFonts w:cs="Arial"/>
          <w:lang w:val="en-NZ"/>
        </w:rPr>
        <w:t>’s ability</w:t>
      </w:r>
      <w:r w:rsidR="00596566" w:rsidRPr="0003653F">
        <w:rPr>
          <w:rFonts w:cs="Arial"/>
          <w:lang w:val="en-NZ"/>
        </w:rPr>
        <w:t xml:space="preserve"> to study has been affected</w:t>
      </w:r>
      <w:r w:rsidRPr="0003653F">
        <w:rPr>
          <w:rFonts w:cs="Arial"/>
          <w:lang w:val="en-NZ"/>
        </w:rPr>
        <w:t xml:space="preserve">, </w:t>
      </w:r>
      <w:r w:rsidR="003525FB" w:rsidRPr="0003653F">
        <w:rPr>
          <w:rFonts w:cs="Arial"/>
          <w:lang w:val="en-NZ"/>
        </w:rPr>
        <w:t xml:space="preserve">including but not </w:t>
      </w:r>
      <w:r w:rsidR="006F08CE" w:rsidRPr="0003653F">
        <w:rPr>
          <w:rFonts w:cs="Arial"/>
          <w:lang w:val="en-NZ"/>
        </w:rPr>
        <w:t>limited</w:t>
      </w:r>
      <w:r w:rsidR="003525FB" w:rsidRPr="0003653F">
        <w:rPr>
          <w:rFonts w:cs="Arial"/>
          <w:lang w:val="en-NZ"/>
        </w:rPr>
        <w:t xml:space="preserve"> to</w:t>
      </w:r>
      <w:r w:rsidRPr="0003653F">
        <w:rPr>
          <w:rFonts w:cs="Arial"/>
          <w:lang w:val="en-NZ"/>
        </w:rPr>
        <w:t>:</w:t>
      </w:r>
    </w:p>
    <w:p w14:paraId="7A8FF56D" w14:textId="77777777" w:rsidR="001B2D2D" w:rsidRPr="0003653F" w:rsidRDefault="00630FA3" w:rsidP="00566D87">
      <w:pPr>
        <w:pStyle w:val="Bullet1"/>
        <w:numPr>
          <w:ilvl w:val="0"/>
          <w:numId w:val="6"/>
        </w:numPr>
        <w:rPr>
          <w:rFonts w:cs="Arial"/>
          <w:lang w:val="en-NZ"/>
        </w:rPr>
      </w:pPr>
      <w:proofErr w:type="gramStart"/>
      <w:r w:rsidRPr="0003653F">
        <w:rPr>
          <w:rFonts w:cs="Arial"/>
          <w:lang w:val="en-NZ"/>
        </w:rPr>
        <w:t>Illness;</w:t>
      </w:r>
      <w:proofErr w:type="gramEnd"/>
    </w:p>
    <w:p w14:paraId="7FC7603D" w14:textId="77777777" w:rsidR="001B2D2D" w:rsidRPr="0003653F" w:rsidRDefault="00630FA3" w:rsidP="00566D87">
      <w:pPr>
        <w:pStyle w:val="Bullet1"/>
        <w:numPr>
          <w:ilvl w:val="0"/>
          <w:numId w:val="6"/>
        </w:numPr>
        <w:rPr>
          <w:rFonts w:cs="Arial"/>
          <w:lang w:val="en-NZ"/>
        </w:rPr>
      </w:pPr>
      <w:proofErr w:type="gramStart"/>
      <w:r w:rsidRPr="0003653F">
        <w:rPr>
          <w:rFonts w:cs="Arial"/>
          <w:lang w:val="en-NZ"/>
        </w:rPr>
        <w:t>Injury;</w:t>
      </w:r>
      <w:proofErr w:type="gramEnd"/>
      <w:r w:rsidRPr="0003653F">
        <w:rPr>
          <w:rFonts w:cs="Arial"/>
          <w:lang w:val="en-NZ"/>
        </w:rPr>
        <w:t xml:space="preserve"> </w:t>
      </w:r>
    </w:p>
    <w:p w14:paraId="1EC3F7ED" w14:textId="66AEDA57" w:rsidR="00417385" w:rsidRDefault="00630FA3" w:rsidP="00566D87">
      <w:pPr>
        <w:pStyle w:val="Bullet1"/>
        <w:numPr>
          <w:ilvl w:val="0"/>
          <w:numId w:val="11"/>
        </w:numPr>
        <w:rPr>
          <w:rFonts w:cs="Arial"/>
          <w:lang w:val="en-NZ"/>
        </w:rPr>
      </w:pPr>
      <w:r w:rsidRPr="00417385">
        <w:rPr>
          <w:rFonts w:cs="Arial"/>
          <w:lang w:val="en-NZ"/>
        </w:rPr>
        <w:t xml:space="preserve">Events beyond the control of the </w:t>
      </w:r>
      <w:r w:rsidR="00893B2F">
        <w:rPr>
          <w:rFonts w:cs="Arial"/>
          <w:lang w:val="en-NZ"/>
        </w:rPr>
        <w:t>learner</w:t>
      </w:r>
    </w:p>
    <w:p w14:paraId="5F0B0B00" w14:textId="77777777" w:rsidR="00736967" w:rsidRPr="00417385" w:rsidRDefault="00417385" w:rsidP="00566D87">
      <w:pPr>
        <w:pStyle w:val="Bullet1"/>
        <w:numPr>
          <w:ilvl w:val="0"/>
          <w:numId w:val="11"/>
        </w:numPr>
        <w:rPr>
          <w:rFonts w:cs="Arial"/>
          <w:lang w:val="en-NZ"/>
        </w:rPr>
      </w:pPr>
      <w:r>
        <w:rPr>
          <w:rFonts w:cs="Arial"/>
          <w:lang w:val="en-NZ"/>
        </w:rPr>
        <w:t>Other e</w:t>
      </w:r>
      <w:r w:rsidR="00630FA3" w:rsidRPr="00417385">
        <w:rPr>
          <w:rFonts w:cs="Arial"/>
          <w:lang w:val="en-NZ"/>
        </w:rPr>
        <w:t xml:space="preserve">xceptional </w:t>
      </w:r>
      <w:r w:rsidR="00FF1C6B" w:rsidRPr="00417385">
        <w:rPr>
          <w:rFonts w:cs="Arial"/>
          <w:lang w:val="en-NZ"/>
        </w:rPr>
        <w:t xml:space="preserve">grounds. </w:t>
      </w:r>
    </w:p>
    <w:p w14:paraId="45B1D8EA" w14:textId="6E5BCE13" w:rsidR="00C31ABF" w:rsidRDefault="00FF1C6B" w:rsidP="00766BF9">
      <w:pPr>
        <w:pStyle w:val="BlockNumber"/>
        <w:ind w:left="1587" w:hanging="873"/>
        <w:rPr>
          <w:rFonts w:cs="Arial"/>
          <w:szCs w:val="20"/>
          <w:lang w:val="en-NZ"/>
        </w:rPr>
      </w:pPr>
      <w:r w:rsidRPr="0003653F">
        <w:rPr>
          <w:rFonts w:cs="Arial"/>
          <w:szCs w:val="20"/>
          <w:lang w:val="en-NZ"/>
        </w:rPr>
        <w:t>To be considered for a refund on compassionate or exceptional grounds</w:t>
      </w:r>
      <w:r w:rsidR="0009204B" w:rsidRPr="0003653F">
        <w:rPr>
          <w:rStyle w:val="FootnoteReference"/>
          <w:rFonts w:cs="Arial"/>
          <w:szCs w:val="20"/>
          <w:lang w:val="en-NZ"/>
        </w:rPr>
        <w:footnoteReference w:id="7"/>
      </w:r>
      <w:r w:rsidRPr="0003653F">
        <w:rPr>
          <w:rFonts w:cs="Arial"/>
          <w:szCs w:val="20"/>
          <w:lang w:val="en-NZ"/>
        </w:rPr>
        <w:t xml:space="preserve">, </w:t>
      </w:r>
      <w:r w:rsidR="00F52063" w:rsidRPr="0003653F">
        <w:rPr>
          <w:rFonts w:cs="Arial"/>
          <w:szCs w:val="20"/>
          <w:lang w:val="en-NZ"/>
        </w:rPr>
        <w:t xml:space="preserve">a </w:t>
      </w:r>
      <w:r w:rsidR="00893B2F">
        <w:rPr>
          <w:rFonts w:cs="Arial"/>
          <w:szCs w:val="20"/>
          <w:lang w:val="en-NZ"/>
        </w:rPr>
        <w:t>learner</w:t>
      </w:r>
      <w:r w:rsidR="00F52063" w:rsidRPr="0003653F">
        <w:rPr>
          <w:rFonts w:cs="Arial"/>
          <w:szCs w:val="20"/>
          <w:lang w:val="en-NZ"/>
        </w:rPr>
        <w:t>’</w:t>
      </w:r>
      <w:r w:rsidR="00422644" w:rsidRPr="0003653F">
        <w:rPr>
          <w:rFonts w:cs="Arial"/>
          <w:szCs w:val="20"/>
          <w:lang w:val="en-NZ"/>
        </w:rPr>
        <w:t>s w</w:t>
      </w:r>
      <w:r w:rsidR="00630FA3" w:rsidRPr="0003653F">
        <w:rPr>
          <w:rFonts w:cs="Arial"/>
          <w:szCs w:val="20"/>
          <w:lang w:val="en-NZ"/>
        </w:rPr>
        <w:t xml:space="preserve">ritten application to withdraw must be </w:t>
      </w:r>
      <w:r w:rsidR="00DB7C37">
        <w:rPr>
          <w:rFonts w:cs="Arial"/>
          <w:szCs w:val="20"/>
          <w:lang w:val="en-NZ"/>
        </w:rPr>
        <w:t xml:space="preserve">addressed to the </w:t>
      </w:r>
      <w:r w:rsidR="00F86994">
        <w:rPr>
          <w:rFonts w:cs="Arial"/>
          <w:szCs w:val="20"/>
          <w:lang w:val="en-NZ"/>
        </w:rPr>
        <w:t>PTE Manager</w:t>
      </w:r>
      <w:r w:rsidR="00DB7C37">
        <w:rPr>
          <w:rFonts w:cs="Arial"/>
          <w:szCs w:val="20"/>
          <w:lang w:val="en-NZ"/>
        </w:rPr>
        <w:t xml:space="preserve"> and </w:t>
      </w:r>
      <w:r w:rsidR="00630FA3" w:rsidRPr="0003653F">
        <w:rPr>
          <w:rFonts w:cs="Arial"/>
          <w:szCs w:val="20"/>
          <w:lang w:val="en-NZ"/>
        </w:rPr>
        <w:t>accompanied by appropriate evidence</w:t>
      </w:r>
      <w:r w:rsidR="00DB7C37">
        <w:rPr>
          <w:rFonts w:cs="Arial"/>
          <w:szCs w:val="20"/>
          <w:lang w:val="en-NZ"/>
        </w:rPr>
        <w:t xml:space="preserve"> and submitted</w:t>
      </w:r>
      <w:r w:rsidR="00422644" w:rsidRPr="0003653F">
        <w:rPr>
          <w:rFonts w:cs="Arial"/>
          <w:szCs w:val="20"/>
          <w:lang w:val="en-NZ"/>
        </w:rPr>
        <w:t>.</w:t>
      </w:r>
      <w:r w:rsidR="00DB7C37">
        <w:rPr>
          <w:rFonts w:cs="Arial"/>
          <w:szCs w:val="20"/>
          <w:lang w:val="en-NZ"/>
        </w:rPr>
        <w:t xml:space="preserve"> This may be submitted </w:t>
      </w:r>
      <w:r w:rsidR="00F86994">
        <w:rPr>
          <w:rFonts w:cs="Arial"/>
          <w:szCs w:val="20"/>
          <w:lang w:val="en-NZ"/>
        </w:rPr>
        <w:t>by email</w:t>
      </w:r>
      <w:r w:rsidR="00DB7C37">
        <w:rPr>
          <w:rFonts w:cs="Arial"/>
          <w:szCs w:val="20"/>
          <w:lang w:val="en-NZ"/>
        </w:rPr>
        <w:t>.</w:t>
      </w:r>
    </w:p>
    <w:p w14:paraId="52DB61A6" w14:textId="3B4EB808" w:rsidR="00417385" w:rsidRDefault="00417385" w:rsidP="00766BF9">
      <w:pPr>
        <w:pStyle w:val="BlockNumber"/>
        <w:ind w:left="1587" w:hanging="873"/>
        <w:rPr>
          <w:rFonts w:cs="Arial"/>
          <w:szCs w:val="20"/>
          <w:lang w:val="en-NZ"/>
        </w:rPr>
      </w:pPr>
      <w:r>
        <w:rPr>
          <w:rFonts w:cs="Arial"/>
          <w:szCs w:val="20"/>
          <w:lang w:val="en-NZ"/>
        </w:rPr>
        <w:t xml:space="preserve">In all cases, the </w:t>
      </w:r>
      <w:r w:rsidR="00F86994">
        <w:rPr>
          <w:rFonts w:cs="Arial"/>
          <w:szCs w:val="20"/>
          <w:lang w:val="en-NZ"/>
        </w:rPr>
        <w:t xml:space="preserve">PTE Manager </w:t>
      </w:r>
      <w:r>
        <w:rPr>
          <w:rFonts w:cs="Arial"/>
          <w:szCs w:val="20"/>
          <w:lang w:val="en-NZ"/>
        </w:rPr>
        <w:t xml:space="preserve">or their specified delegate has sole discretion to consider applications and to determine an appropriate refund. </w:t>
      </w:r>
    </w:p>
    <w:p w14:paraId="453DF293" w14:textId="51CCC479" w:rsidR="00C31ABF" w:rsidRDefault="00C31ABF" w:rsidP="00766BF9">
      <w:pPr>
        <w:pStyle w:val="BlockNumber"/>
        <w:ind w:left="1587" w:hanging="873"/>
        <w:rPr>
          <w:rFonts w:cs="Arial"/>
          <w:szCs w:val="20"/>
          <w:lang w:val="en-NZ"/>
        </w:rPr>
      </w:pPr>
      <w:r>
        <w:rPr>
          <w:rFonts w:cs="Arial"/>
          <w:szCs w:val="20"/>
          <w:lang w:val="en-NZ"/>
        </w:rPr>
        <w:lastRenderedPageBreak/>
        <w:t xml:space="preserve">In considering an appropriate level of refund on compassionate grounds, </w:t>
      </w:r>
      <w:r w:rsidR="00893B2F">
        <w:rPr>
          <w:rFonts w:cs="Arial"/>
          <w:szCs w:val="20"/>
          <w:lang w:val="en-NZ"/>
        </w:rPr>
        <w:t>ATNZ</w:t>
      </w:r>
      <w:r>
        <w:rPr>
          <w:rFonts w:cs="Arial"/>
          <w:szCs w:val="20"/>
          <w:lang w:val="en-NZ"/>
        </w:rPr>
        <w:t xml:space="preserve"> will retain:</w:t>
      </w:r>
    </w:p>
    <w:p w14:paraId="748FC000" w14:textId="77777777" w:rsidR="00C31ABF" w:rsidRDefault="00C31ABF" w:rsidP="00566D87">
      <w:pPr>
        <w:pStyle w:val="BlockNumber"/>
        <w:numPr>
          <w:ilvl w:val="0"/>
          <w:numId w:val="10"/>
        </w:numPr>
        <w:rPr>
          <w:rFonts w:cs="Arial"/>
          <w:szCs w:val="20"/>
          <w:lang w:val="en-NZ"/>
        </w:rPr>
      </w:pPr>
      <w:r>
        <w:rPr>
          <w:rFonts w:cs="Arial"/>
          <w:szCs w:val="20"/>
          <w:lang w:val="en-NZ"/>
        </w:rPr>
        <w:t xml:space="preserve">Costs already incurred in tuition either through direct teaching and support but also infrastructure and </w:t>
      </w:r>
      <w:proofErr w:type="gramStart"/>
      <w:r>
        <w:rPr>
          <w:rFonts w:cs="Arial"/>
          <w:szCs w:val="20"/>
          <w:lang w:val="en-NZ"/>
        </w:rPr>
        <w:t>overhead</w:t>
      </w:r>
      <w:proofErr w:type="gramEnd"/>
    </w:p>
    <w:p w14:paraId="49C5AE98" w14:textId="77777777" w:rsidR="00C31ABF" w:rsidRDefault="00C31ABF" w:rsidP="00566D87">
      <w:pPr>
        <w:pStyle w:val="BlockNumber"/>
        <w:numPr>
          <w:ilvl w:val="0"/>
          <w:numId w:val="10"/>
        </w:numPr>
        <w:rPr>
          <w:rFonts w:cs="Arial"/>
          <w:szCs w:val="20"/>
          <w:lang w:val="en-NZ"/>
        </w:rPr>
      </w:pPr>
      <w:r>
        <w:rPr>
          <w:rFonts w:cs="Arial"/>
          <w:szCs w:val="20"/>
          <w:lang w:val="en-NZ"/>
        </w:rPr>
        <w:t xml:space="preserve">Components of the fee already committed for the duration of the course, </w:t>
      </w:r>
      <w:proofErr w:type="spellStart"/>
      <w:r>
        <w:rPr>
          <w:rFonts w:cs="Arial"/>
          <w:szCs w:val="20"/>
          <w:lang w:val="en-NZ"/>
        </w:rPr>
        <w:t>eg</w:t>
      </w:r>
      <w:proofErr w:type="spellEnd"/>
      <w:r>
        <w:rPr>
          <w:rFonts w:cs="Arial"/>
          <w:szCs w:val="20"/>
          <w:lang w:val="en-NZ"/>
        </w:rPr>
        <w:t xml:space="preserve">, materials, </w:t>
      </w:r>
      <w:r w:rsidR="00B117F0">
        <w:rPr>
          <w:rFonts w:cs="Arial"/>
          <w:szCs w:val="20"/>
          <w:lang w:val="en-NZ"/>
        </w:rPr>
        <w:t xml:space="preserve">equipment, </w:t>
      </w:r>
      <w:proofErr w:type="gramStart"/>
      <w:r w:rsidR="00B117F0">
        <w:rPr>
          <w:rFonts w:cs="Arial"/>
          <w:szCs w:val="20"/>
          <w:lang w:val="en-NZ"/>
        </w:rPr>
        <w:t>clothing</w:t>
      </w:r>
      <w:proofErr w:type="gramEnd"/>
    </w:p>
    <w:p w14:paraId="3FC7DAF4" w14:textId="77777777" w:rsidR="00C31ABF" w:rsidRDefault="00C31ABF" w:rsidP="00566D87">
      <w:pPr>
        <w:pStyle w:val="BlockNumber"/>
        <w:numPr>
          <w:ilvl w:val="0"/>
          <w:numId w:val="10"/>
        </w:numPr>
        <w:rPr>
          <w:rFonts w:cs="Arial"/>
          <w:szCs w:val="20"/>
          <w:lang w:val="en-NZ"/>
        </w:rPr>
      </w:pPr>
      <w:r>
        <w:rPr>
          <w:rFonts w:cs="Arial"/>
          <w:szCs w:val="20"/>
          <w:lang w:val="en-NZ"/>
        </w:rPr>
        <w:t>Specialist fees</w:t>
      </w:r>
    </w:p>
    <w:p w14:paraId="7127A565" w14:textId="77777777" w:rsidR="00C31ABF" w:rsidRDefault="00C31ABF" w:rsidP="00566D87">
      <w:pPr>
        <w:pStyle w:val="BlockNumber"/>
        <w:numPr>
          <w:ilvl w:val="0"/>
          <w:numId w:val="10"/>
        </w:numPr>
        <w:rPr>
          <w:rFonts w:cs="Arial"/>
          <w:szCs w:val="20"/>
          <w:lang w:val="en-NZ"/>
        </w:rPr>
      </w:pPr>
      <w:r>
        <w:rPr>
          <w:rFonts w:cs="Arial"/>
          <w:szCs w:val="20"/>
          <w:lang w:val="en-NZ"/>
        </w:rPr>
        <w:t>Administration costs</w:t>
      </w:r>
    </w:p>
    <w:p w14:paraId="1900FCF8" w14:textId="77777777" w:rsidR="00C31ABF" w:rsidRDefault="00C31ABF" w:rsidP="00566D87">
      <w:pPr>
        <w:pStyle w:val="BlockNumber"/>
        <w:numPr>
          <w:ilvl w:val="0"/>
          <w:numId w:val="10"/>
        </w:numPr>
        <w:rPr>
          <w:rFonts w:cs="Arial"/>
          <w:szCs w:val="20"/>
          <w:lang w:val="en-NZ"/>
        </w:rPr>
      </w:pPr>
      <w:r>
        <w:rPr>
          <w:rFonts w:cs="Arial"/>
          <w:szCs w:val="20"/>
          <w:lang w:val="en-NZ"/>
        </w:rPr>
        <w:t xml:space="preserve">Any other costs already </w:t>
      </w:r>
      <w:proofErr w:type="gramStart"/>
      <w:r>
        <w:rPr>
          <w:rFonts w:cs="Arial"/>
          <w:szCs w:val="20"/>
          <w:lang w:val="en-NZ"/>
        </w:rPr>
        <w:t>incurred</w:t>
      </w:r>
      <w:proofErr w:type="gramEnd"/>
      <w:r w:rsidR="00630FA3" w:rsidRPr="0003653F">
        <w:rPr>
          <w:rFonts w:cs="Arial"/>
          <w:szCs w:val="20"/>
          <w:lang w:val="en-NZ"/>
        </w:rPr>
        <w:t xml:space="preserve">  </w:t>
      </w:r>
    </w:p>
    <w:p w14:paraId="55F57183" w14:textId="77777777" w:rsidR="00AD4DCB" w:rsidRDefault="00AD4DCB" w:rsidP="00AD4DCB">
      <w:pPr>
        <w:pStyle w:val="Heading1No"/>
        <w:numPr>
          <w:ilvl w:val="0"/>
          <w:numId w:val="0"/>
        </w:numPr>
        <w:ind w:left="357" w:hanging="357"/>
      </w:pPr>
    </w:p>
    <w:p w14:paraId="2BC772ED" w14:textId="77777777" w:rsidR="0044590B" w:rsidRDefault="0044590B">
      <w:pPr>
        <w:rPr>
          <w:rFonts w:ascii="Arial" w:eastAsia="Times New Roman" w:hAnsi="Arial" w:cs="Arial"/>
          <w:sz w:val="20"/>
          <w:szCs w:val="20"/>
          <w:lang w:eastAsia="en-US"/>
        </w:rPr>
      </w:pPr>
      <w:bookmarkStart w:id="34" w:name="_Toc352763805"/>
      <w:bookmarkStart w:id="35" w:name="_Toc352838269"/>
      <w:bookmarkStart w:id="36" w:name="_Toc352858400"/>
      <w:bookmarkEnd w:id="34"/>
      <w:bookmarkEnd w:id="35"/>
      <w:bookmarkEnd w:id="36"/>
    </w:p>
    <w:p w14:paraId="1D90B163" w14:textId="77777777" w:rsidR="00A93DFE" w:rsidRPr="0003653F" w:rsidRDefault="00A93DFE">
      <w:pPr>
        <w:rPr>
          <w:rFonts w:ascii="Arial" w:eastAsia="Times New Roman" w:hAnsi="Arial" w:cs="Arial"/>
          <w:sz w:val="20"/>
          <w:szCs w:val="20"/>
          <w:lang w:eastAsia="en-US"/>
        </w:rPr>
      </w:pPr>
    </w:p>
    <w:p w14:paraId="52F1DAC9" w14:textId="77777777" w:rsidR="00344A7E" w:rsidRPr="00032FAF" w:rsidRDefault="00B23606" w:rsidP="004337B2">
      <w:pPr>
        <w:pStyle w:val="Heading1No"/>
        <w:rPr>
          <w:lang w:val="en-NZ"/>
        </w:rPr>
      </w:pPr>
      <w:bookmarkStart w:id="37" w:name="_Ref213811389"/>
      <w:bookmarkStart w:id="38" w:name="_Ref213814365"/>
      <w:bookmarkStart w:id="39" w:name="_Ref213814372"/>
      <w:bookmarkStart w:id="40" w:name="_Ref213814377"/>
      <w:bookmarkStart w:id="41" w:name="_Ref221093348"/>
      <w:bookmarkStart w:id="42" w:name="_Ref221097112"/>
      <w:bookmarkStart w:id="43" w:name="_Ref221097117"/>
      <w:bookmarkStart w:id="44" w:name="_Toc352741620"/>
      <w:bookmarkStart w:id="45" w:name="_Toc352763807"/>
      <w:bookmarkStart w:id="46" w:name="_Toc105753602"/>
      <w:r w:rsidRPr="00032FAF">
        <w:rPr>
          <w:lang w:val="en-NZ"/>
        </w:rPr>
        <w:t xml:space="preserve">Academic </w:t>
      </w:r>
      <w:r w:rsidR="00630FA3" w:rsidRPr="004337B2">
        <w:t>Progress</w:t>
      </w:r>
      <w:bookmarkEnd w:id="37"/>
      <w:bookmarkEnd w:id="38"/>
      <w:bookmarkEnd w:id="39"/>
      <w:bookmarkEnd w:id="40"/>
      <w:bookmarkEnd w:id="41"/>
      <w:bookmarkEnd w:id="42"/>
      <w:bookmarkEnd w:id="43"/>
      <w:bookmarkEnd w:id="44"/>
      <w:bookmarkEnd w:id="45"/>
      <w:bookmarkEnd w:id="46"/>
    </w:p>
    <w:p w14:paraId="23633739" w14:textId="77777777" w:rsidR="00344A7E" w:rsidRPr="00032FAF" w:rsidRDefault="00764AA0" w:rsidP="008F31CF">
      <w:pPr>
        <w:pStyle w:val="Heading2No"/>
        <w:rPr>
          <w:rFonts w:cs="Arial"/>
          <w:szCs w:val="20"/>
          <w:lang w:val="en-NZ"/>
        </w:rPr>
      </w:pPr>
      <w:r w:rsidRPr="00032FAF">
        <w:rPr>
          <w:rFonts w:cs="Arial"/>
          <w:szCs w:val="20"/>
          <w:lang w:val="en-NZ"/>
        </w:rPr>
        <w:t>General provisions</w:t>
      </w:r>
    </w:p>
    <w:p w14:paraId="304A5642" w14:textId="292C8DF7" w:rsidR="00736967" w:rsidRPr="0003653F" w:rsidRDefault="00630FA3">
      <w:pPr>
        <w:pStyle w:val="BlockNumber"/>
        <w:ind w:left="1587" w:hanging="873"/>
        <w:rPr>
          <w:rFonts w:cs="Arial"/>
          <w:szCs w:val="20"/>
          <w:lang w:val="en-NZ"/>
        </w:rPr>
      </w:pPr>
      <w:r w:rsidRPr="0003653F">
        <w:rPr>
          <w:rFonts w:cs="Arial"/>
          <w:szCs w:val="20"/>
          <w:lang w:val="en-NZ"/>
        </w:rPr>
        <w:t xml:space="preserve">The purpose of this section is to ensure that </w:t>
      </w:r>
      <w:r w:rsidR="00893B2F">
        <w:rPr>
          <w:rFonts w:cs="Arial"/>
          <w:szCs w:val="20"/>
          <w:lang w:val="en-NZ"/>
        </w:rPr>
        <w:t>learner</w:t>
      </w:r>
      <w:r w:rsidRPr="0003653F">
        <w:rPr>
          <w:rFonts w:cs="Arial"/>
          <w:szCs w:val="20"/>
          <w:lang w:val="en-NZ"/>
        </w:rPr>
        <w:t xml:space="preserve">s who have not made satisfactory </w:t>
      </w:r>
      <w:r w:rsidR="00B23606" w:rsidRPr="0003653F">
        <w:rPr>
          <w:rFonts w:cs="Arial"/>
          <w:szCs w:val="20"/>
          <w:lang w:val="en-NZ"/>
        </w:rPr>
        <w:t xml:space="preserve">academic </w:t>
      </w:r>
      <w:r w:rsidRPr="0003653F">
        <w:rPr>
          <w:rFonts w:cs="Arial"/>
          <w:szCs w:val="20"/>
          <w:lang w:val="en-NZ"/>
        </w:rPr>
        <w:t xml:space="preserve">progress in their studies are given support and academic advice regarding their future study. </w:t>
      </w:r>
    </w:p>
    <w:p w14:paraId="2EDBDF92" w14:textId="4B86CEB7" w:rsidR="00736967" w:rsidRPr="0003653F" w:rsidRDefault="00630FA3">
      <w:pPr>
        <w:pStyle w:val="BlockNumber"/>
        <w:ind w:left="1587" w:hanging="873"/>
        <w:rPr>
          <w:rFonts w:cs="Arial"/>
          <w:szCs w:val="20"/>
          <w:lang w:val="en-NZ"/>
        </w:rPr>
      </w:pPr>
      <w:r w:rsidRPr="0003653F">
        <w:rPr>
          <w:rFonts w:cs="Arial"/>
          <w:szCs w:val="20"/>
          <w:lang w:val="en-NZ"/>
        </w:rPr>
        <w:t>This section appl</w:t>
      </w:r>
      <w:r w:rsidR="008A39CF" w:rsidRPr="0003653F">
        <w:rPr>
          <w:rFonts w:cs="Arial"/>
          <w:szCs w:val="20"/>
          <w:lang w:val="en-NZ"/>
        </w:rPr>
        <w:t>ies</w:t>
      </w:r>
      <w:r w:rsidRPr="0003653F">
        <w:rPr>
          <w:rFonts w:cs="Arial"/>
          <w:szCs w:val="20"/>
          <w:lang w:val="en-NZ"/>
        </w:rPr>
        <w:t xml:space="preserve"> to all </w:t>
      </w:r>
      <w:r w:rsidR="00893B2F">
        <w:rPr>
          <w:rFonts w:cs="Arial"/>
          <w:szCs w:val="20"/>
          <w:lang w:val="en-NZ"/>
        </w:rPr>
        <w:t>learner</w:t>
      </w:r>
      <w:r w:rsidR="008A39CF" w:rsidRPr="0003653F">
        <w:rPr>
          <w:rFonts w:cs="Arial"/>
          <w:szCs w:val="20"/>
          <w:lang w:val="en-NZ"/>
        </w:rPr>
        <w:t>s enrolled</w:t>
      </w:r>
      <w:r w:rsidRPr="0003653F">
        <w:rPr>
          <w:rFonts w:cs="Arial"/>
          <w:szCs w:val="20"/>
          <w:lang w:val="en-NZ"/>
        </w:rPr>
        <w:t xml:space="preserve"> in assessed courses.</w:t>
      </w:r>
    </w:p>
    <w:p w14:paraId="441CA35B" w14:textId="20161F3D" w:rsidR="00074682" w:rsidRPr="00032FAF" w:rsidRDefault="00074682" w:rsidP="00074682">
      <w:pPr>
        <w:pStyle w:val="Heading2No"/>
        <w:rPr>
          <w:rFonts w:cs="Arial"/>
          <w:szCs w:val="20"/>
          <w:lang w:val="en-NZ"/>
        </w:rPr>
      </w:pPr>
      <w:r w:rsidRPr="00032FAF">
        <w:rPr>
          <w:rFonts w:cs="Arial"/>
          <w:szCs w:val="20"/>
          <w:lang w:val="en-NZ"/>
        </w:rPr>
        <w:t>Academic requirements</w:t>
      </w:r>
      <w:r w:rsidR="00715982">
        <w:rPr>
          <w:rFonts w:cs="Arial"/>
          <w:szCs w:val="20"/>
          <w:lang w:val="en-NZ"/>
        </w:rPr>
        <w:t xml:space="preserve"> (Not applicable to Apprenticeship programmes)</w:t>
      </w:r>
    </w:p>
    <w:p w14:paraId="19B3A032" w14:textId="0AF4E28D" w:rsidR="002D04B7" w:rsidRPr="0003653F" w:rsidRDefault="00893B2F" w:rsidP="002D04B7">
      <w:pPr>
        <w:pStyle w:val="BlockNumber"/>
        <w:ind w:left="1587" w:hanging="873"/>
        <w:rPr>
          <w:rFonts w:cs="Arial"/>
          <w:szCs w:val="20"/>
          <w:lang w:val="en-NZ"/>
        </w:rPr>
      </w:pPr>
      <w:r>
        <w:rPr>
          <w:rFonts w:cs="Arial"/>
          <w:szCs w:val="20"/>
          <w:lang w:val="en-NZ"/>
        </w:rPr>
        <w:t>Learner</w:t>
      </w:r>
      <w:r w:rsidR="002D04B7" w:rsidRPr="0003653F">
        <w:rPr>
          <w:rFonts w:cs="Arial"/>
          <w:szCs w:val="20"/>
          <w:lang w:val="en-NZ"/>
        </w:rPr>
        <w:t xml:space="preserve">s who </w:t>
      </w:r>
      <w:r w:rsidR="00633981">
        <w:rPr>
          <w:rFonts w:cs="Arial"/>
          <w:szCs w:val="20"/>
          <w:lang w:val="en-NZ"/>
        </w:rPr>
        <w:t xml:space="preserve">do not successfully pass </w:t>
      </w:r>
      <w:r w:rsidR="002D04B7" w:rsidRPr="0003653F">
        <w:rPr>
          <w:rFonts w:cs="Arial"/>
          <w:szCs w:val="20"/>
          <w:lang w:val="en-NZ"/>
        </w:rPr>
        <w:t xml:space="preserve">the same course twice may not automatically </w:t>
      </w:r>
      <w:r w:rsidR="003525FB" w:rsidRPr="0003653F">
        <w:rPr>
          <w:rFonts w:cs="Arial"/>
          <w:szCs w:val="20"/>
          <w:lang w:val="en-NZ"/>
        </w:rPr>
        <w:t>re-</w:t>
      </w:r>
      <w:r w:rsidR="002D04B7" w:rsidRPr="0003653F">
        <w:rPr>
          <w:rFonts w:cs="Arial"/>
          <w:szCs w:val="20"/>
          <w:lang w:val="en-NZ"/>
        </w:rPr>
        <w:t xml:space="preserve">enrol in that course (see section </w:t>
      </w:r>
      <w:r w:rsidR="00C578E8">
        <w:rPr>
          <w:rFonts w:cs="Arial"/>
          <w:szCs w:val="20"/>
          <w:lang w:val="en-NZ"/>
        </w:rPr>
        <w:t>3</w:t>
      </w:r>
      <w:r w:rsidR="002D04B7" w:rsidRPr="0003653F">
        <w:rPr>
          <w:rFonts w:cs="Arial"/>
          <w:szCs w:val="20"/>
          <w:lang w:val="en-NZ"/>
        </w:rPr>
        <w:t>.8</w:t>
      </w:r>
      <w:r w:rsidR="00DE2B11" w:rsidRPr="0003653F">
        <w:rPr>
          <w:rFonts w:cs="Arial"/>
          <w:szCs w:val="20"/>
          <w:lang w:val="en-NZ"/>
        </w:rPr>
        <w:t>.1</w:t>
      </w:r>
      <w:r w:rsidR="002D04B7" w:rsidRPr="0003653F">
        <w:rPr>
          <w:rFonts w:cs="Arial"/>
          <w:szCs w:val="20"/>
          <w:lang w:val="en-NZ"/>
        </w:rPr>
        <w:t xml:space="preserve">: Refusal or cancellation of enrolment). The decision whether </w:t>
      </w:r>
      <w:r>
        <w:rPr>
          <w:rFonts w:cs="Arial"/>
          <w:szCs w:val="20"/>
          <w:lang w:val="en-NZ"/>
        </w:rPr>
        <w:t>learner</w:t>
      </w:r>
      <w:r w:rsidR="002D04B7" w:rsidRPr="0003653F">
        <w:rPr>
          <w:rFonts w:cs="Arial"/>
          <w:szCs w:val="20"/>
          <w:lang w:val="en-NZ"/>
        </w:rPr>
        <w:t xml:space="preserve">s can </w:t>
      </w:r>
      <w:r w:rsidR="003525FB" w:rsidRPr="0003653F">
        <w:rPr>
          <w:rFonts w:cs="Arial"/>
          <w:szCs w:val="20"/>
          <w:lang w:val="en-NZ"/>
        </w:rPr>
        <w:t>re-</w:t>
      </w:r>
      <w:r w:rsidR="002D04B7" w:rsidRPr="0003653F">
        <w:rPr>
          <w:rFonts w:cs="Arial"/>
          <w:szCs w:val="20"/>
          <w:lang w:val="en-NZ"/>
        </w:rPr>
        <w:t xml:space="preserve">enrol in that course shall be based on the likelihood of them passing the course given a third enrolment and shall be made by the </w:t>
      </w:r>
      <w:r w:rsidR="004B0C10">
        <w:rPr>
          <w:rFonts w:cs="Arial"/>
          <w:szCs w:val="20"/>
          <w:lang w:val="en-NZ"/>
        </w:rPr>
        <w:t>Academic Manager</w:t>
      </w:r>
      <w:r w:rsidR="002D04B7" w:rsidRPr="0003653F">
        <w:rPr>
          <w:rFonts w:cs="Arial"/>
          <w:szCs w:val="20"/>
          <w:lang w:val="en-NZ"/>
        </w:rPr>
        <w:t>.</w:t>
      </w:r>
    </w:p>
    <w:p w14:paraId="1B15523E" w14:textId="60F341F8" w:rsidR="002D04B7" w:rsidRPr="0003653F" w:rsidRDefault="00893B2F" w:rsidP="002D04B7">
      <w:pPr>
        <w:pStyle w:val="BlockNumber"/>
        <w:ind w:left="1587" w:hanging="873"/>
        <w:rPr>
          <w:rFonts w:cs="Arial"/>
          <w:szCs w:val="20"/>
          <w:lang w:val="en-NZ"/>
        </w:rPr>
      </w:pPr>
      <w:r>
        <w:rPr>
          <w:rFonts w:cs="Arial"/>
          <w:szCs w:val="20"/>
          <w:lang w:val="en-NZ"/>
        </w:rPr>
        <w:t>Learner</w:t>
      </w:r>
      <w:r w:rsidR="002D04B7" w:rsidRPr="0003653F">
        <w:rPr>
          <w:rFonts w:cs="Arial"/>
          <w:szCs w:val="20"/>
          <w:lang w:val="en-NZ"/>
        </w:rPr>
        <w:t xml:space="preserve">s who fail the same course three times may not automatically </w:t>
      </w:r>
      <w:r w:rsidR="003525FB" w:rsidRPr="0003653F">
        <w:rPr>
          <w:rFonts w:cs="Arial"/>
          <w:szCs w:val="20"/>
          <w:lang w:val="en-NZ"/>
        </w:rPr>
        <w:t>re-</w:t>
      </w:r>
      <w:r w:rsidR="002D04B7" w:rsidRPr="0003653F">
        <w:rPr>
          <w:rFonts w:cs="Arial"/>
          <w:szCs w:val="20"/>
          <w:lang w:val="en-NZ"/>
        </w:rPr>
        <w:t xml:space="preserve">enrol in that course.  Where there are exceptional circumstances, the </w:t>
      </w:r>
      <w:r w:rsidR="004B0C10">
        <w:rPr>
          <w:rFonts w:cs="Arial"/>
          <w:szCs w:val="20"/>
          <w:lang w:val="en-NZ"/>
        </w:rPr>
        <w:t xml:space="preserve">PTE Manager </w:t>
      </w:r>
      <w:r w:rsidR="002D04B7" w:rsidRPr="0003653F">
        <w:rPr>
          <w:rFonts w:cs="Arial"/>
          <w:szCs w:val="20"/>
          <w:lang w:val="en-NZ"/>
        </w:rPr>
        <w:t>may authorise a fourth enrolment.</w:t>
      </w:r>
    </w:p>
    <w:p w14:paraId="1C00D138" w14:textId="018A1DDD" w:rsidR="00736967" w:rsidRPr="0003653F" w:rsidRDefault="00630FA3" w:rsidP="00FF5DC0">
      <w:pPr>
        <w:pStyle w:val="BlockNumber"/>
        <w:ind w:left="1587" w:hanging="873"/>
        <w:rPr>
          <w:rFonts w:cs="Arial"/>
          <w:lang w:val="en-NZ"/>
        </w:rPr>
      </w:pPr>
      <w:r w:rsidRPr="0003653F">
        <w:rPr>
          <w:rFonts w:cs="Arial"/>
          <w:szCs w:val="20"/>
          <w:lang w:val="en-NZ"/>
        </w:rPr>
        <w:t xml:space="preserve">Full-time </w:t>
      </w:r>
      <w:r w:rsidR="00893B2F">
        <w:rPr>
          <w:rFonts w:cs="Arial"/>
          <w:szCs w:val="20"/>
          <w:lang w:val="en-NZ"/>
        </w:rPr>
        <w:t>learner</w:t>
      </w:r>
      <w:r w:rsidRPr="0003653F">
        <w:rPr>
          <w:rFonts w:cs="Arial"/>
          <w:szCs w:val="20"/>
          <w:lang w:val="en-NZ"/>
        </w:rPr>
        <w:t xml:space="preserve">s who </w:t>
      </w:r>
      <w:r w:rsidR="00D105F8">
        <w:rPr>
          <w:rFonts w:cs="Arial"/>
          <w:szCs w:val="20"/>
          <w:lang w:val="en-NZ"/>
        </w:rPr>
        <w:t xml:space="preserve">do to achieve </w:t>
      </w:r>
      <w:r w:rsidRPr="0003653F">
        <w:rPr>
          <w:rFonts w:cs="Arial"/>
          <w:szCs w:val="20"/>
          <w:lang w:val="en-NZ"/>
        </w:rPr>
        <w:t>more than 50</w:t>
      </w:r>
      <w:r w:rsidR="00673FCB" w:rsidRPr="0003653F">
        <w:rPr>
          <w:rFonts w:cs="Arial"/>
          <w:szCs w:val="20"/>
          <w:lang w:val="en-NZ"/>
        </w:rPr>
        <w:t xml:space="preserve"> per cent</w:t>
      </w:r>
      <w:r w:rsidRPr="0003653F">
        <w:rPr>
          <w:rFonts w:cs="Arial"/>
          <w:szCs w:val="20"/>
          <w:lang w:val="en-NZ"/>
        </w:rPr>
        <w:t xml:space="preserve"> of their enrolled credits in any one </w:t>
      </w:r>
      <w:r w:rsidR="004B0C10">
        <w:rPr>
          <w:rFonts w:cs="Arial"/>
          <w:szCs w:val="20"/>
          <w:lang w:val="en-NZ"/>
        </w:rPr>
        <w:t xml:space="preserve">enrolment period </w:t>
      </w:r>
      <w:r w:rsidRPr="0003653F">
        <w:rPr>
          <w:rFonts w:cs="Arial"/>
          <w:szCs w:val="20"/>
          <w:lang w:val="en-NZ"/>
        </w:rPr>
        <w:t xml:space="preserve">may not automatically </w:t>
      </w:r>
      <w:r w:rsidR="003525FB" w:rsidRPr="0003653F">
        <w:rPr>
          <w:rFonts w:cs="Arial"/>
          <w:szCs w:val="20"/>
          <w:lang w:val="en-NZ"/>
        </w:rPr>
        <w:t>re-</w:t>
      </w:r>
      <w:r w:rsidRPr="0003653F">
        <w:rPr>
          <w:rFonts w:cs="Arial"/>
          <w:szCs w:val="20"/>
          <w:lang w:val="en-NZ"/>
        </w:rPr>
        <w:t xml:space="preserve">enrol </w:t>
      </w:r>
      <w:r w:rsidR="005F478E" w:rsidRPr="0003653F">
        <w:rPr>
          <w:rFonts w:cs="Arial"/>
          <w:szCs w:val="20"/>
          <w:lang w:val="en-NZ"/>
        </w:rPr>
        <w:t xml:space="preserve">in </w:t>
      </w:r>
      <w:r w:rsidRPr="0003653F">
        <w:rPr>
          <w:rFonts w:cs="Arial"/>
          <w:szCs w:val="20"/>
          <w:lang w:val="en-NZ"/>
        </w:rPr>
        <w:t>any further courses</w:t>
      </w:r>
      <w:r w:rsidR="00642F9E" w:rsidRPr="0003653F">
        <w:rPr>
          <w:rFonts w:cs="Arial"/>
          <w:szCs w:val="20"/>
          <w:lang w:val="en-NZ"/>
        </w:rPr>
        <w:t xml:space="preserve"> (</w:t>
      </w:r>
      <w:r w:rsidR="00F03D1A" w:rsidRPr="0003653F">
        <w:rPr>
          <w:rFonts w:cs="Arial"/>
          <w:szCs w:val="20"/>
          <w:lang w:val="en-NZ"/>
        </w:rPr>
        <w:t>see</w:t>
      </w:r>
      <w:r w:rsidR="00642F9E" w:rsidRPr="0003653F">
        <w:rPr>
          <w:rFonts w:cs="Arial"/>
          <w:szCs w:val="20"/>
          <w:lang w:val="en-NZ"/>
        </w:rPr>
        <w:t xml:space="preserve"> section </w:t>
      </w:r>
      <w:r w:rsidR="00C578E8">
        <w:rPr>
          <w:rFonts w:cs="Arial"/>
          <w:szCs w:val="20"/>
          <w:lang w:val="en-NZ"/>
        </w:rPr>
        <w:t>3</w:t>
      </w:r>
      <w:r w:rsidR="00642F9E" w:rsidRPr="0003653F">
        <w:rPr>
          <w:rFonts w:cs="Arial"/>
          <w:szCs w:val="20"/>
          <w:lang w:val="en-NZ"/>
        </w:rPr>
        <w:t>.8</w:t>
      </w:r>
      <w:r w:rsidR="00DE2B11" w:rsidRPr="0003653F">
        <w:rPr>
          <w:rFonts w:cs="Arial"/>
          <w:szCs w:val="20"/>
          <w:lang w:val="en-NZ"/>
        </w:rPr>
        <w:t>.1</w:t>
      </w:r>
      <w:r w:rsidR="00AD42E9" w:rsidRPr="0003653F">
        <w:rPr>
          <w:rFonts w:cs="Arial"/>
          <w:szCs w:val="20"/>
          <w:lang w:val="en-NZ"/>
        </w:rPr>
        <w:t>:</w:t>
      </w:r>
      <w:r w:rsidR="00642F9E" w:rsidRPr="0003653F">
        <w:rPr>
          <w:rFonts w:cs="Arial"/>
          <w:szCs w:val="20"/>
          <w:lang w:val="en-NZ"/>
        </w:rPr>
        <w:t xml:space="preserve"> </w:t>
      </w:r>
      <w:r w:rsidR="00AD42E9" w:rsidRPr="0003653F">
        <w:rPr>
          <w:rFonts w:cs="Arial"/>
          <w:szCs w:val="20"/>
          <w:lang w:val="en-NZ"/>
        </w:rPr>
        <w:t xml:space="preserve">Refusal </w:t>
      </w:r>
      <w:r w:rsidR="00F13D9D" w:rsidRPr="0003653F">
        <w:rPr>
          <w:rFonts w:cs="Arial"/>
          <w:szCs w:val="20"/>
          <w:lang w:val="en-NZ"/>
        </w:rPr>
        <w:t xml:space="preserve">or </w:t>
      </w:r>
      <w:r w:rsidR="00642F9E" w:rsidRPr="0003653F">
        <w:rPr>
          <w:rFonts w:cs="Arial"/>
          <w:szCs w:val="20"/>
          <w:lang w:val="en-NZ"/>
        </w:rPr>
        <w:t>cancellation of enrolment)</w:t>
      </w:r>
      <w:r w:rsidRPr="0003653F">
        <w:rPr>
          <w:rFonts w:cs="Arial"/>
          <w:szCs w:val="20"/>
          <w:lang w:val="en-NZ"/>
        </w:rPr>
        <w:t xml:space="preserve">. </w:t>
      </w:r>
      <w:r w:rsidR="00642F9E" w:rsidRPr="0003653F">
        <w:rPr>
          <w:rFonts w:cs="Arial"/>
          <w:szCs w:val="20"/>
          <w:lang w:val="en-NZ"/>
        </w:rPr>
        <w:t xml:space="preserve"> </w:t>
      </w:r>
      <w:r w:rsidRPr="0003653F">
        <w:rPr>
          <w:rFonts w:cs="Arial"/>
          <w:szCs w:val="20"/>
          <w:lang w:val="en-NZ"/>
        </w:rPr>
        <w:t xml:space="preserve">The decision whether </w:t>
      </w:r>
      <w:r w:rsidR="00893B2F">
        <w:rPr>
          <w:rFonts w:cs="Arial"/>
          <w:szCs w:val="20"/>
          <w:lang w:val="en-NZ"/>
        </w:rPr>
        <w:t>learner</w:t>
      </w:r>
      <w:r w:rsidRPr="0003653F">
        <w:rPr>
          <w:rFonts w:cs="Arial"/>
          <w:szCs w:val="20"/>
          <w:lang w:val="en-NZ"/>
        </w:rPr>
        <w:t xml:space="preserve">s can enrol </w:t>
      </w:r>
      <w:r w:rsidR="000C0902" w:rsidRPr="0003653F">
        <w:rPr>
          <w:rFonts w:cs="Arial"/>
          <w:szCs w:val="20"/>
          <w:lang w:val="en-NZ"/>
        </w:rPr>
        <w:t>i</w:t>
      </w:r>
      <w:r w:rsidRPr="0003653F">
        <w:rPr>
          <w:rFonts w:cs="Arial"/>
          <w:szCs w:val="20"/>
          <w:lang w:val="en-NZ"/>
        </w:rPr>
        <w:t xml:space="preserve">n further courses </w:t>
      </w:r>
      <w:r w:rsidR="00B67CF9" w:rsidRPr="0003653F">
        <w:rPr>
          <w:rFonts w:cs="Arial"/>
          <w:szCs w:val="20"/>
          <w:lang w:val="en-NZ"/>
        </w:rPr>
        <w:t>shall</w:t>
      </w:r>
      <w:r w:rsidRPr="0003653F">
        <w:rPr>
          <w:rFonts w:cs="Arial"/>
          <w:szCs w:val="20"/>
          <w:lang w:val="en-NZ"/>
        </w:rPr>
        <w:t xml:space="preserve"> be based on the likelihood of t</w:t>
      </w:r>
      <w:r w:rsidR="002F764A" w:rsidRPr="0003653F">
        <w:rPr>
          <w:rFonts w:cs="Arial"/>
          <w:szCs w:val="20"/>
          <w:lang w:val="en-NZ"/>
        </w:rPr>
        <w:t>hem</w:t>
      </w:r>
      <w:r w:rsidRPr="0003653F">
        <w:rPr>
          <w:rFonts w:cs="Arial"/>
          <w:szCs w:val="20"/>
          <w:lang w:val="en-NZ"/>
        </w:rPr>
        <w:t xml:space="preserve"> succeeding in further study and </w:t>
      </w:r>
      <w:r w:rsidR="00B67CF9" w:rsidRPr="0003653F">
        <w:rPr>
          <w:rFonts w:cs="Arial"/>
          <w:szCs w:val="20"/>
          <w:lang w:val="en-NZ"/>
        </w:rPr>
        <w:t>shall</w:t>
      </w:r>
      <w:r w:rsidRPr="0003653F">
        <w:rPr>
          <w:rFonts w:cs="Arial"/>
          <w:szCs w:val="20"/>
          <w:lang w:val="en-NZ"/>
        </w:rPr>
        <w:t xml:space="preserve"> be made by</w:t>
      </w:r>
      <w:r w:rsidR="00FF5DC0">
        <w:rPr>
          <w:rFonts w:cs="Arial"/>
          <w:szCs w:val="20"/>
          <w:lang w:val="en-NZ"/>
        </w:rPr>
        <w:t xml:space="preserve"> the </w:t>
      </w:r>
      <w:r w:rsidR="004B0C10">
        <w:rPr>
          <w:rFonts w:cs="Arial"/>
          <w:szCs w:val="20"/>
          <w:lang w:val="en-NZ"/>
        </w:rPr>
        <w:t>Academic Manager</w:t>
      </w:r>
      <w:r w:rsidR="00FF5DC0">
        <w:rPr>
          <w:rFonts w:cs="Arial"/>
          <w:szCs w:val="20"/>
          <w:lang w:val="en-NZ"/>
        </w:rPr>
        <w:t xml:space="preserve">. </w:t>
      </w:r>
    </w:p>
    <w:p w14:paraId="666709C3" w14:textId="1CFE1B41" w:rsidR="00DB5545" w:rsidRPr="0003653F" w:rsidRDefault="00DB5545" w:rsidP="00DB5545">
      <w:pPr>
        <w:pStyle w:val="BlockNumber"/>
        <w:ind w:left="1587" w:hanging="873"/>
        <w:rPr>
          <w:rFonts w:cs="Arial"/>
          <w:szCs w:val="20"/>
          <w:lang w:val="en-NZ"/>
        </w:rPr>
      </w:pPr>
      <w:r w:rsidRPr="0003653F">
        <w:rPr>
          <w:rFonts w:cs="Arial"/>
          <w:szCs w:val="20"/>
          <w:lang w:val="en-NZ"/>
        </w:rPr>
        <w:t xml:space="preserve">The </w:t>
      </w:r>
      <w:r w:rsidR="004B0C10">
        <w:rPr>
          <w:rFonts w:cs="Arial"/>
          <w:szCs w:val="20"/>
          <w:lang w:val="en-NZ"/>
        </w:rPr>
        <w:t xml:space="preserve">PTE Manager </w:t>
      </w:r>
      <w:r w:rsidRPr="0003653F">
        <w:rPr>
          <w:rFonts w:cs="Arial"/>
          <w:szCs w:val="20"/>
          <w:lang w:val="en-NZ"/>
        </w:rPr>
        <w:t>shall</w:t>
      </w:r>
      <w:r>
        <w:rPr>
          <w:rFonts w:cs="Arial"/>
          <w:szCs w:val="20"/>
          <w:lang w:val="en-NZ"/>
        </w:rPr>
        <w:t xml:space="preserve"> ensure that </w:t>
      </w:r>
      <w:r w:rsidR="00893B2F">
        <w:rPr>
          <w:rFonts w:cs="Arial"/>
          <w:szCs w:val="20"/>
          <w:lang w:val="en-NZ"/>
        </w:rPr>
        <w:t>learner</w:t>
      </w:r>
      <w:r>
        <w:rPr>
          <w:rFonts w:cs="Arial"/>
          <w:szCs w:val="20"/>
          <w:lang w:val="en-NZ"/>
        </w:rPr>
        <w:t xml:space="preserve">s who are re-enrolled under this provision are provided with </w:t>
      </w:r>
      <w:r w:rsidRPr="0003653F">
        <w:rPr>
          <w:rFonts w:cs="Arial"/>
          <w:szCs w:val="20"/>
          <w:lang w:val="en-NZ"/>
        </w:rPr>
        <w:t xml:space="preserve">appropriate </w:t>
      </w:r>
      <w:r>
        <w:rPr>
          <w:rFonts w:cs="Arial"/>
          <w:szCs w:val="20"/>
          <w:lang w:val="en-NZ"/>
        </w:rPr>
        <w:t xml:space="preserve">additional </w:t>
      </w:r>
      <w:r w:rsidRPr="0003653F">
        <w:rPr>
          <w:rFonts w:cs="Arial"/>
          <w:szCs w:val="20"/>
          <w:lang w:val="en-NZ"/>
        </w:rPr>
        <w:t xml:space="preserve">support to </w:t>
      </w:r>
      <w:r w:rsidR="00893B2F">
        <w:rPr>
          <w:rFonts w:cs="Arial"/>
          <w:szCs w:val="20"/>
          <w:lang w:val="en-NZ"/>
        </w:rPr>
        <w:t>learner</w:t>
      </w:r>
      <w:r w:rsidRPr="0003653F">
        <w:rPr>
          <w:rFonts w:cs="Arial"/>
          <w:szCs w:val="20"/>
          <w:lang w:val="en-NZ"/>
        </w:rPr>
        <w:t>s for their on-going study.</w:t>
      </w:r>
    </w:p>
    <w:p w14:paraId="19EE756E" w14:textId="53228087" w:rsidR="00DB5545" w:rsidRDefault="00630FA3">
      <w:pPr>
        <w:pStyle w:val="BlockNumber"/>
        <w:ind w:left="1587" w:hanging="873"/>
        <w:rPr>
          <w:rFonts w:cs="Arial"/>
          <w:szCs w:val="20"/>
          <w:lang w:val="en-NZ"/>
        </w:rPr>
      </w:pPr>
      <w:r w:rsidRPr="0003653F">
        <w:rPr>
          <w:rFonts w:cs="Arial"/>
          <w:szCs w:val="20"/>
          <w:lang w:val="en-NZ"/>
        </w:rPr>
        <w:t xml:space="preserve">All decisions to </w:t>
      </w:r>
      <w:r w:rsidR="00DB5545">
        <w:rPr>
          <w:rFonts w:cs="Arial"/>
          <w:szCs w:val="20"/>
          <w:lang w:val="en-NZ"/>
        </w:rPr>
        <w:t xml:space="preserve">preclude </w:t>
      </w:r>
      <w:r w:rsidR="00893B2F">
        <w:rPr>
          <w:rFonts w:cs="Arial"/>
          <w:szCs w:val="20"/>
          <w:lang w:val="en-NZ"/>
        </w:rPr>
        <w:t>learner</w:t>
      </w:r>
      <w:r w:rsidR="00FC1846" w:rsidRPr="0003653F">
        <w:rPr>
          <w:rFonts w:cs="Arial"/>
          <w:szCs w:val="20"/>
          <w:lang w:val="en-NZ"/>
        </w:rPr>
        <w:t>s</w:t>
      </w:r>
      <w:r w:rsidRPr="0003653F">
        <w:rPr>
          <w:rFonts w:cs="Arial"/>
          <w:szCs w:val="20"/>
          <w:lang w:val="en-NZ"/>
        </w:rPr>
        <w:t xml:space="preserve"> </w:t>
      </w:r>
      <w:r w:rsidR="00767951" w:rsidRPr="0003653F">
        <w:rPr>
          <w:rFonts w:cs="Arial"/>
          <w:szCs w:val="20"/>
          <w:lang w:val="en-NZ"/>
        </w:rPr>
        <w:t>enrol</w:t>
      </w:r>
      <w:r w:rsidR="00DB5545">
        <w:rPr>
          <w:rFonts w:cs="Arial"/>
          <w:szCs w:val="20"/>
          <w:lang w:val="en-NZ"/>
        </w:rPr>
        <w:t>ling</w:t>
      </w:r>
      <w:r w:rsidR="00767951" w:rsidRPr="0003653F">
        <w:rPr>
          <w:rFonts w:cs="Arial"/>
          <w:szCs w:val="20"/>
          <w:lang w:val="en-NZ"/>
        </w:rPr>
        <w:t xml:space="preserve"> in further courses </w:t>
      </w:r>
      <w:r w:rsidR="00B67CF9" w:rsidRPr="0003653F">
        <w:rPr>
          <w:rFonts w:cs="Arial"/>
          <w:szCs w:val="20"/>
          <w:lang w:val="en-NZ"/>
        </w:rPr>
        <w:t>shall</w:t>
      </w:r>
      <w:r w:rsidRPr="0003653F">
        <w:rPr>
          <w:rFonts w:cs="Arial"/>
          <w:szCs w:val="20"/>
          <w:lang w:val="en-NZ"/>
        </w:rPr>
        <w:t xml:space="preserve"> be reported to the </w:t>
      </w:r>
      <w:r w:rsidR="00C22E41" w:rsidRPr="0003653F">
        <w:rPr>
          <w:rFonts w:cs="Arial"/>
          <w:szCs w:val="20"/>
          <w:lang w:val="en-NZ"/>
        </w:rPr>
        <w:t xml:space="preserve">Academic </w:t>
      </w:r>
      <w:r w:rsidR="006F08CE" w:rsidRPr="0003653F">
        <w:rPr>
          <w:rFonts w:cs="Arial"/>
          <w:szCs w:val="20"/>
          <w:lang w:val="en-NZ"/>
        </w:rPr>
        <w:t>Committee</w:t>
      </w:r>
      <w:r w:rsidRPr="0003653F">
        <w:rPr>
          <w:rFonts w:cs="Arial"/>
          <w:szCs w:val="20"/>
          <w:lang w:val="en-NZ"/>
        </w:rPr>
        <w:t xml:space="preserve">. </w:t>
      </w:r>
      <w:r w:rsidR="001851CD" w:rsidRPr="0003653F">
        <w:rPr>
          <w:rFonts w:cs="Arial"/>
          <w:szCs w:val="20"/>
          <w:lang w:val="en-NZ"/>
        </w:rPr>
        <w:t xml:space="preserve"> </w:t>
      </w:r>
    </w:p>
    <w:p w14:paraId="161742A6" w14:textId="311109F9" w:rsidR="00736967" w:rsidRPr="0003653F" w:rsidRDefault="0073470E" w:rsidP="00A93DFE">
      <w:pPr>
        <w:pStyle w:val="BlockNumber"/>
        <w:numPr>
          <w:ilvl w:val="0"/>
          <w:numId w:val="0"/>
        </w:numPr>
        <w:ind w:left="2292"/>
        <w:rPr>
          <w:rFonts w:cs="Arial"/>
          <w:szCs w:val="20"/>
          <w:lang w:val="en-NZ"/>
        </w:rPr>
      </w:pPr>
      <w:r>
        <w:rPr>
          <w:rFonts w:cs="Arial"/>
          <w:szCs w:val="20"/>
          <w:lang w:val="en-NZ"/>
        </w:rPr>
        <w:br w:type="column"/>
      </w:r>
    </w:p>
    <w:p w14:paraId="1564A310" w14:textId="3C5A4FCC" w:rsidR="007514C6" w:rsidRDefault="0073470E" w:rsidP="0073470E">
      <w:pPr>
        <w:pStyle w:val="Heading1No"/>
      </w:pPr>
      <w:bookmarkStart w:id="47" w:name="_Toc352741621"/>
      <w:bookmarkStart w:id="48" w:name="_Toc352763808"/>
      <w:r>
        <w:t xml:space="preserve">      </w:t>
      </w:r>
      <w:bookmarkStart w:id="49" w:name="_Toc105753603"/>
      <w:r w:rsidR="00630FA3" w:rsidRPr="004337B2">
        <w:t>Assessment</w:t>
      </w:r>
      <w:r w:rsidR="00630FA3" w:rsidRPr="00032FAF">
        <w:t xml:space="preserve"> and Moderation</w:t>
      </w:r>
      <w:bookmarkEnd w:id="47"/>
      <w:bookmarkEnd w:id="48"/>
      <w:bookmarkEnd w:id="49"/>
    </w:p>
    <w:p w14:paraId="49433D62" w14:textId="6561FEF5" w:rsidR="0043482D" w:rsidRPr="00032FAF" w:rsidRDefault="005C10DC" w:rsidP="0043482D">
      <w:pPr>
        <w:pStyle w:val="Heading2No"/>
      </w:pPr>
      <w:r>
        <w:t>Assessment P</w:t>
      </w:r>
      <w:r w:rsidR="0074453F">
        <w:t xml:space="preserve">olicy </w:t>
      </w:r>
      <w:r>
        <w:t>Relevant to Learners</w:t>
      </w:r>
    </w:p>
    <w:p w14:paraId="5299D9D8" w14:textId="77777777" w:rsidR="007679B8" w:rsidRPr="0074453F" w:rsidRDefault="007679B8" w:rsidP="007679B8">
      <w:pPr>
        <w:pStyle w:val="BlockNumber"/>
        <w:ind w:left="1587" w:hanging="873"/>
        <w:rPr>
          <w:rFonts w:cs="Arial"/>
          <w:szCs w:val="20"/>
          <w:lang w:val="en-NZ"/>
        </w:rPr>
      </w:pPr>
      <w:r w:rsidRPr="0074453F">
        <w:rPr>
          <w:rFonts w:cs="Arial"/>
          <w:szCs w:val="20"/>
          <w:lang w:val="en-NZ"/>
        </w:rPr>
        <w:t>Learners are responsible for familiarising themselves with assessment rules and procedures for their programme or course.</w:t>
      </w:r>
    </w:p>
    <w:p w14:paraId="30DBC1E8" w14:textId="77777777" w:rsidR="00F94FF5" w:rsidRPr="0074453F" w:rsidRDefault="00F94FF5" w:rsidP="00F94FF5">
      <w:pPr>
        <w:pStyle w:val="BlockNumber"/>
        <w:ind w:left="1587" w:hanging="873"/>
        <w:rPr>
          <w:rFonts w:cs="Arial"/>
          <w:szCs w:val="20"/>
          <w:lang w:val="en-NZ"/>
        </w:rPr>
      </w:pPr>
      <w:r w:rsidRPr="0074453F">
        <w:rPr>
          <w:rFonts w:cs="Arial"/>
          <w:szCs w:val="20"/>
          <w:lang w:val="en-NZ"/>
        </w:rPr>
        <w:t>Learners shall be advised when a course or programme begins of:</w:t>
      </w:r>
    </w:p>
    <w:p w14:paraId="79AAA1F1" w14:textId="226E2AB5" w:rsidR="00F94FF5" w:rsidRPr="0074453F" w:rsidRDefault="006F4C17" w:rsidP="00F94FF5">
      <w:pPr>
        <w:pStyle w:val="Bullet1"/>
        <w:tabs>
          <w:tab w:val="clear" w:pos="1494"/>
        </w:tabs>
        <w:ind w:left="2127" w:hanging="426"/>
        <w:rPr>
          <w:rFonts w:cs="Arial"/>
          <w:lang w:val="en-NZ"/>
        </w:rPr>
      </w:pPr>
      <w:r w:rsidRPr="0074453F">
        <w:rPr>
          <w:rFonts w:cs="Arial"/>
          <w:lang w:val="en-NZ"/>
        </w:rPr>
        <w:t xml:space="preserve">NZQF </w:t>
      </w:r>
      <w:r w:rsidR="00F94FF5" w:rsidRPr="0074453F">
        <w:rPr>
          <w:rFonts w:cs="Arial"/>
          <w:lang w:val="en-NZ"/>
        </w:rPr>
        <w:t xml:space="preserve">Standard or Course assessment information and requirements including </w:t>
      </w:r>
      <w:proofErr w:type="gramStart"/>
      <w:r w:rsidR="00F94FF5" w:rsidRPr="0074453F">
        <w:rPr>
          <w:rFonts w:cs="Arial"/>
          <w:lang w:val="en-NZ"/>
        </w:rPr>
        <w:t>weightings;</w:t>
      </w:r>
      <w:proofErr w:type="gramEnd"/>
    </w:p>
    <w:p w14:paraId="22139164" w14:textId="77777777" w:rsidR="00F94FF5" w:rsidRPr="0074453F" w:rsidRDefault="00F94FF5" w:rsidP="00F94FF5">
      <w:pPr>
        <w:pStyle w:val="Bullet1"/>
        <w:tabs>
          <w:tab w:val="clear" w:pos="1494"/>
        </w:tabs>
        <w:ind w:left="2127" w:hanging="426"/>
        <w:rPr>
          <w:rFonts w:cs="Arial"/>
          <w:lang w:val="en-NZ"/>
        </w:rPr>
      </w:pPr>
      <w:r w:rsidRPr="0074453F">
        <w:rPr>
          <w:rFonts w:cs="Arial"/>
          <w:lang w:val="en-NZ"/>
        </w:rPr>
        <w:t xml:space="preserve">Assessment </w:t>
      </w:r>
      <w:proofErr w:type="gramStart"/>
      <w:r w:rsidRPr="0074453F">
        <w:rPr>
          <w:rFonts w:cs="Arial"/>
          <w:lang w:val="en-NZ"/>
        </w:rPr>
        <w:t>timetables;</w:t>
      </w:r>
      <w:proofErr w:type="gramEnd"/>
    </w:p>
    <w:p w14:paraId="63BD6019" w14:textId="77777777" w:rsidR="00F94FF5" w:rsidRPr="0074453F" w:rsidRDefault="00F94FF5" w:rsidP="00F94FF5">
      <w:pPr>
        <w:pStyle w:val="Bullet1"/>
        <w:tabs>
          <w:tab w:val="clear" w:pos="1494"/>
        </w:tabs>
        <w:ind w:left="2127" w:hanging="426"/>
        <w:rPr>
          <w:rFonts w:cs="Arial"/>
          <w:lang w:val="en-NZ"/>
        </w:rPr>
      </w:pPr>
      <w:r w:rsidRPr="0074453F">
        <w:rPr>
          <w:rFonts w:cs="Arial"/>
          <w:lang w:val="en-NZ"/>
        </w:rPr>
        <w:t xml:space="preserve">Pass and grade </w:t>
      </w:r>
      <w:proofErr w:type="gramStart"/>
      <w:r w:rsidRPr="0074453F">
        <w:rPr>
          <w:rFonts w:cs="Arial"/>
          <w:lang w:val="en-NZ"/>
        </w:rPr>
        <w:t>values;</w:t>
      </w:r>
      <w:proofErr w:type="gramEnd"/>
      <w:r w:rsidRPr="0074453F">
        <w:rPr>
          <w:rFonts w:cs="Arial"/>
          <w:lang w:val="en-NZ"/>
        </w:rPr>
        <w:t xml:space="preserve">  </w:t>
      </w:r>
    </w:p>
    <w:p w14:paraId="731C96D1" w14:textId="77777777" w:rsidR="00F94FF5" w:rsidRPr="0074453F" w:rsidRDefault="00F94FF5" w:rsidP="00F94FF5">
      <w:pPr>
        <w:pStyle w:val="Bullet1"/>
        <w:tabs>
          <w:tab w:val="clear" w:pos="1494"/>
        </w:tabs>
        <w:ind w:left="2127" w:hanging="426"/>
        <w:rPr>
          <w:rFonts w:cs="Arial"/>
          <w:lang w:val="en-NZ"/>
        </w:rPr>
      </w:pPr>
      <w:r w:rsidRPr="0074453F">
        <w:rPr>
          <w:rFonts w:cs="Arial"/>
          <w:lang w:val="en-NZ"/>
        </w:rPr>
        <w:t xml:space="preserve">How achievement will be </w:t>
      </w:r>
      <w:proofErr w:type="gramStart"/>
      <w:r w:rsidRPr="0074453F">
        <w:rPr>
          <w:rFonts w:cs="Arial"/>
          <w:lang w:val="en-NZ"/>
        </w:rPr>
        <w:t>reported;</w:t>
      </w:r>
      <w:proofErr w:type="gramEnd"/>
    </w:p>
    <w:p w14:paraId="2AD2B3CF" w14:textId="77777777" w:rsidR="00F94FF5" w:rsidRPr="0074453F" w:rsidRDefault="00F94FF5" w:rsidP="00F94FF5">
      <w:pPr>
        <w:pStyle w:val="Bullet1"/>
        <w:tabs>
          <w:tab w:val="clear" w:pos="1494"/>
        </w:tabs>
        <w:ind w:left="2127" w:hanging="426"/>
        <w:rPr>
          <w:rFonts w:cs="Arial"/>
          <w:lang w:val="en-NZ"/>
        </w:rPr>
      </w:pPr>
      <w:r w:rsidRPr="0074453F">
        <w:rPr>
          <w:rFonts w:cs="Arial"/>
          <w:lang w:val="en-NZ"/>
        </w:rPr>
        <w:t>Appeal provisions; and</w:t>
      </w:r>
    </w:p>
    <w:p w14:paraId="7048C49E" w14:textId="77777777" w:rsidR="00F94FF5" w:rsidRPr="0074453F" w:rsidRDefault="00F94FF5" w:rsidP="00F94FF5">
      <w:pPr>
        <w:pStyle w:val="Bullet1"/>
        <w:tabs>
          <w:tab w:val="clear" w:pos="1494"/>
        </w:tabs>
        <w:ind w:left="2127" w:hanging="426"/>
        <w:rPr>
          <w:rFonts w:cs="Arial"/>
          <w:lang w:val="en-NZ"/>
        </w:rPr>
      </w:pPr>
      <w:r w:rsidRPr="0074453F">
        <w:rPr>
          <w:rFonts w:cs="Arial"/>
          <w:lang w:val="en-NZ"/>
        </w:rPr>
        <w:t>Arrangements for reviewing assessment evidence.</w:t>
      </w:r>
    </w:p>
    <w:p w14:paraId="52B816D2" w14:textId="77777777" w:rsidR="00B94017" w:rsidRPr="0074453F" w:rsidRDefault="00B94017" w:rsidP="00B94017">
      <w:pPr>
        <w:pStyle w:val="BlockNumber"/>
        <w:ind w:left="1587" w:hanging="873"/>
        <w:rPr>
          <w:rFonts w:cs="Arial"/>
          <w:szCs w:val="20"/>
          <w:lang w:val="en-NZ"/>
        </w:rPr>
      </w:pPr>
      <w:r w:rsidRPr="0074453F">
        <w:rPr>
          <w:rFonts w:cs="Arial"/>
          <w:szCs w:val="20"/>
          <w:lang w:val="en-NZ"/>
        </w:rPr>
        <w:t>During assessment, learners must observe any direction given by the assessment supervisor and any rules that apply (</w:t>
      </w:r>
      <w:proofErr w:type="gramStart"/>
      <w:r w:rsidRPr="0074453F">
        <w:rPr>
          <w:rFonts w:cs="Arial"/>
          <w:szCs w:val="20"/>
          <w:lang w:val="en-NZ"/>
        </w:rPr>
        <w:t>e.g.</w:t>
      </w:r>
      <w:proofErr w:type="gramEnd"/>
      <w:r w:rsidRPr="0074453F">
        <w:rPr>
          <w:rFonts w:cs="Arial"/>
          <w:szCs w:val="20"/>
          <w:lang w:val="en-NZ"/>
        </w:rPr>
        <w:t xml:space="preserve"> rules specifying the type of equipment that may be used, time limits and the need for silence). </w:t>
      </w:r>
    </w:p>
    <w:p w14:paraId="1B4F12DA" w14:textId="33615326" w:rsidR="00961DF3" w:rsidRDefault="00B94017" w:rsidP="00B94017">
      <w:pPr>
        <w:pStyle w:val="BlockNumber"/>
        <w:ind w:left="1587" w:hanging="873"/>
        <w:rPr>
          <w:rFonts w:cs="Arial"/>
          <w:szCs w:val="20"/>
          <w:lang w:val="en-NZ"/>
        </w:rPr>
      </w:pPr>
      <w:r w:rsidRPr="0074453F">
        <w:rPr>
          <w:rFonts w:cs="Arial"/>
          <w:szCs w:val="20"/>
          <w:lang w:val="en-NZ"/>
        </w:rPr>
        <w:t xml:space="preserve">Learners must behave honestly in all summative assessment.  All work presented by learners for summative assessment must be their own work, reflect their own learning, and must not be plagiarised. Plagiarism </w:t>
      </w:r>
      <w:r w:rsidR="00C23E9F">
        <w:rPr>
          <w:rFonts w:cs="Arial"/>
          <w:szCs w:val="20"/>
          <w:lang w:val="en-NZ"/>
        </w:rPr>
        <w:t xml:space="preserve">or the submission of answers generated by any form of artificial </w:t>
      </w:r>
      <w:r w:rsidR="00B62FAD">
        <w:rPr>
          <w:rFonts w:cs="Arial"/>
          <w:szCs w:val="20"/>
          <w:lang w:val="en-NZ"/>
        </w:rPr>
        <w:t xml:space="preserve">intelligence </w:t>
      </w:r>
      <w:r w:rsidRPr="0074453F">
        <w:rPr>
          <w:rFonts w:cs="Arial"/>
          <w:szCs w:val="20"/>
          <w:lang w:val="en-NZ"/>
        </w:rPr>
        <w:t>will be regarded as particularly serious breach</w:t>
      </w:r>
      <w:r w:rsidR="00B62FAD">
        <w:rPr>
          <w:rFonts w:cs="Arial"/>
          <w:szCs w:val="20"/>
          <w:lang w:val="en-NZ"/>
        </w:rPr>
        <w:t>es</w:t>
      </w:r>
      <w:r w:rsidRPr="0074453F">
        <w:rPr>
          <w:rFonts w:cs="Arial"/>
          <w:szCs w:val="20"/>
          <w:lang w:val="en-NZ"/>
        </w:rPr>
        <w:t xml:space="preserve"> of these regulations. </w:t>
      </w:r>
    </w:p>
    <w:p w14:paraId="7B5061BC" w14:textId="45EC74F1" w:rsidR="00B94017" w:rsidRPr="0074453F" w:rsidRDefault="00B94017" w:rsidP="00961DF3">
      <w:pPr>
        <w:pStyle w:val="BlockNumber"/>
        <w:numPr>
          <w:ilvl w:val="0"/>
          <w:numId w:val="0"/>
        </w:numPr>
        <w:ind w:left="1587"/>
        <w:rPr>
          <w:rFonts w:cs="Arial"/>
          <w:szCs w:val="20"/>
          <w:lang w:val="en-NZ"/>
        </w:rPr>
      </w:pPr>
      <w:r w:rsidRPr="0074453F">
        <w:rPr>
          <w:rFonts w:cs="Arial"/>
          <w:szCs w:val="20"/>
          <w:lang w:val="en-NZ"/>
        </w:rPr>
        <w:t>Learners will be required to evidence that each item of assessment work is entirely their own work.</w:t>
      </w:r>
      <w:r w:rsidR="00F312D2">
        <w:rPr>
          <w:rFonts w:cs="Arial"/>
          <w:szCs w:val="20"/>
          <w:lang w:val="en-NZ"/>
        </w:rPr>
        <w:t xml:space="preserve"> </w:t>
      </w:r>
    </w:p>
    <w:p w14:paraId="55C25544" w14:textId="35E803F9" w:rsidR="00B94017" w:rsidRPr="0074453F" w:rsidRDefault="00B94017" w:rsidP="00B94017">
      <w:pPr>
        <w:pStyle w:val="BlockNumber"/>
        <w:ind w:left="1587" w:hanging="873"/>
        <w:rPr>
          <w:rFonts w:cs="Arial"/>
          <w:szCs w:val="20"/>
          <w:lang w:val="en-NZ"/>
        </w:rPr>
      </w:pPr>
      <w:r w:rsidRPr="0074453F">
        <w:rPr>
          <w:rFonts w:cs="Arial"/>
          <w:szCs w:val="20"/>
          <w:lang w:val="en-NZ"/>
        </w:rPr>
        <w:t xml:space="preserve">Notwithstanding section </w:t>
      </w:r>
      <w:r w:rsidR="0073470E" w:rsidRPr="0074453F">
        <w:rPr>
          <w:rFonts w:cs="Arial"/>
          <w:szCs w:val="20"/>
          <w:lang w:val="en-NZ"/>
        </w:rPr>
        <w:t>10</w:t>
      </w:r>
      <w:r w:rsidRPr="0074453F">
        <w:rPr>
          <w:rFonts w:cs="Arial"/>
          <w:szCs w:val="20"/>
          <w:lang w:val="en-NZ"/>
        </w:rPr>
        <w:t>.1.</w:t>
      </w:r>
      <w:r w:rsidR="00DA1CCB" w:rsidRPr="0074453F">
        <w:rPr>
          <w:rFonts w:cs="Arial"/>
          <w:szCs w:val="20"/>
          <w:lang w:val="en-NZ"/>
        </w:rPr>
        <w:t>4</w:t>
      </w:r>
      <w:r w:rsidRPr="0074453F">
        <w:rPr>
          <w:rFonts w:cs="Arial"/>
          <w:szCs w:val="20"/>
          <w:lang w:val="en-NZ"/>
        </w:rPr>
        <w:t>, work may be presented by a group of learners for summative assessment where this is specified in the assessment information.</w:t>
      </w:r>
    </w:p>
    <w:p w14:paraId="1B4E082B" w14:textId="77777777" w:rsidR="00B94017" w:rsidRPr="0074453F" w:rsidRDefault="00B94017" w:rsidP="00B94017">
      <w:pPr>
        <w:pStyle w:val="BlockNumber"/>
        <w:ind w:left="1587" w:hanging="873"/>
        <w:rPr>
          <w:rFonts w:cs="Arial"/>
          <w:szCs w:val="20"/>
          <w:lang w:val="en-NZ"/>
        </w:rPr>
      </w:pPr>
      <w:r w:rsidRPr="0074453F">
        <w:rPr>
          <w:rFonts w:cs="Arial"/>
          <w:szCs w:val="20"/>
          <w:lang w:val="en-NZ"/>
        </w:rPr>
        <w:t xml:space="preserve">ATNZ assessors may decline to assess any course work where they are satisfied that there has been dishonest or improper practice or where the learner has not followed instructions given for or during the assessment. The Misconduct provisions will apply in such cases. </w:t>
      </w:r>
    </w:p>
    <w:p w14:paraId="1B9C13C5" w14:textId="77777777" w:rsidR="00B94017" w:rsidRPr="0074453F" w:rsidRDefault="00B94017" w:rsidP="00B94017">
      <w:pPr>
        <w:pStyle w:val="BlockNumber"/>
        <w:ind w:left="1587" w:hanging="873"/>
        <w:rPr>
          <w:rFonts w:cs="Arial"/>
          <w:szCs w:val="20"/>
          <w:lang w:val="en-NZ"/>
        </w:rPr>
      </w:pPr>
      <w:r w:rsidRPr="0074453F">
        <w:rPr>
          <w:rFonts w:cs="Arial"/>
          <w:szCs w:val="20"/>
          <w:lang w:val="en-NZ"/>
        </w:rPr>
        <w:t>Learners are responsible for satisfying all summative assessment requirements for their course, and for making themselves available to undertake all summative assessments at the published time and place.</w:t>
      </w:r>
    </w:p>
    <w:p w14:paraId="49B5F0D8" w14:textId="4DAF1E3E" w:rsidR="00114D8C" w:rsidRPr="0074453F" w:rsidRDefault="00B94017" w:rsidP="00B94017">
      <w:pPr>
        <w:pStyle w:val="BlockNumber"/>
        <w:ind w:left="1560"/>
      </w:pPr>
      <w:r w:rsidRPr="0074453F">
        <w:t xml:space="preserve">Summative assessment may be completed in Te Reo Māori if it is </w:t>
      </w:r>
      <w:proofErr w:type="gramStart"/>
      <w:r w:rsidRPr="0074453F">
        <w:t>practical</w:t>
      </w:r>
      <w:proofErr w:type="gramEnd"/>
      <w:r w:rsidRPr="0074453F">
        <w:t xml:space="preserve"> and a translator approved by ATNZ for language fluency and subject expertise is available</w:t>
      </w:r>
    </w:p>
    <w:p w14:paraId="6C84684A" w14:textId="7A712DA3" w:rsidR="00820363" w:rsidRPr="0003653F" w:rsidRDefault="00B77304" w:rsidP="00476AB5">
      <w:pPr>
        <w:pStyle w:val="Heading2No"/>
      </w:pPr>
      <w:r>
        <w:t>Assessment Procedures</w:t>
      </w:r>
    </w:p>
    <w:p w14:paraId="265A097C" w14:textId="640038A7" w:rsidR="00926B85" w:rsidRDefault="00926B85" w:rsidP="00F66B9A">
      <w:pPr>
        <w:pStyle w:val="BlockNumber"/>
        <w:ind w:left="1587" w:hanging="873"/>
        <w:rPr>
          <w:rFonts w:cs="Arial"/>
          <w:szCs w:val="20"/>
          <w:lang w:val="en-NZ"/>
        </w:rPr>
      </w:pPr>
      <w:r>
        <w:rPr>
          <w:rFonts w:cs="Arial"/>
          <w:szCs w:val="20"/>
          <w:lang w:val="en-NZ"/>
        </w:rPr>
        <w:t xml:space="preserve">Unless otherwise specified in Programme Regulations, resit attempts will not normally be permitted for </w:t>
      </w:r>
      <w:proofErr w:type="gramStart"/>
      <w:r>
        <w:rPr>
          <w:rFonts w:cs="Arial"/>
          <w:szCs w:val="20"/>
          <w:lang w:val="en-NZ"/>
        </w:rPr>
        <w:t>achievement</w:t>
      </w:r>
      <w:r w:rsidR="004A658D">
        <w:rPr>
          <w:rFonts w:cs="Arial"/>
          <w:szCs w:val="20"/>
          <w:lang w:val="en-NZ"/>
        </w:rPr>
        <w:t xml:space="preserve"> </w:t>
      </w:r>
      <w:r>
        <w:rPr>
          <w:rFonts w:cs="Arial"/>
          <w:szCs w:val="20"/>
          <w:lang w:val="en-NZ"/>
        </w:rPr>
        <w:t>based</w:t>
      </w:r>
      <w:proofErr w:type="gramEnd"/>
      <w:r>
        <w:rPr>
          <w:rFonts w:cs="Arial"/>
          <w:szCs w:val="20"/>
          <w:lang w:val="en-NZ"/>
        </w:rPr>
        <w:t xml:space="preserve"> assessments</w:t>
      </w:r>
      <w:r w:rsidR="006160BE">
        <w:rPr>
          <w:rFonts w:cs="Arial"/>
          <w:szCs w:val="20"/>
          <w:lang w:val="en-NZ"/>
        </w:rPr>
        <w:t xml:space="preserve"> except where there is a minimum mark or grade that must be achieved for</w:t>
      </w:r>
      <w:r w:rsidR="00D105F8">
        <w:rPr>
          <w:rFonts w:cs="Arial"/>
          <w:szCs w:val="20"/>
          <w:lang w:val="en-NZ"/>
        </w:rPr>
        <w:t xml:space="preserve"> an </w:t>
      </w:r>
      <w:r w:rsidR="006160BE">
        <w:rPr>
          <w:rFonts w:cs="Arial"/>
          <w:szCs w:val="20"/>
          <w:lang w:val="en-NZ"/>
        </w:rPr>
        <w:t>individual assessment</w:t>
      </w:r>
      <w:r w:rsidR="00D105F8">
        <w:rPr>
          <w:rFonts w:cs="Arial"/>
          <w:szCs w:val="20"/>
          <w:lang w:val="en-NZ"/>
        </w:rPr>
        <w:t xml:space="preserve"> within the course</w:t>
      </w:r>
      <w:r>
        <w:rPr>
          <w:rFonts w:cs="Arial"/>
          <w:szCs w:val="20"/>
          <w:lang w:val="en-NZ"/>
        </w:rPr>
        <w:t xml:space="preserve">. </w:t>
      </w:r>
    </w:p>
    <w:p w14:paraId="672AA785" w14:textId="4FF31F00" w:rsidR="00D153C2" w:rsidRDefault="00926B85" w:rsidP="00F66B9A">
      <w:pPr>
        <w:pStyle w:val="BlockNumber"/>
        <w:ind w:left="1587" w:hanging="873"/>
        <w:rPr>
          <w:rFonts w:cs="Arial"/>
          <w:szCs w:val="20"/>
          <w:lang w:val="en-NZ"/>
        </w:rPr>
      </w:pPr>
      <w:r>
        <w:rPr>
          <w:rFonts w:cs="Arial"/>
          <w:szCs w:val="20"/>
          <w:lang w:val="en-NZ"/>
        </w:rPr>
        <w:t xml:space="preserve">Unless otherwise specified in Programme Regulations, at least </w:t>
      </w:r>
      <w:r w:rsidR="00275DCE">
        <w:rPr>
          <w:rFonts w:cs="Arial"/>
          <w:szCs w:val="20"/>
          <w:lang w:val="en-NZ"/>
        </w:rPr>
        <w:t xml:space="preserve">two </w:t>
      </w:r>
      <w:r>
        <w:rPr>
          <w:rFonts w:cs="Arial"/>
          <w:szCs w:val="20"/>
          <w:lang w:val="en-NZ"/>
        </w:rPr>
        <w:t xml:space="preserve">resit </w:t>
      </w:r>
      <w:proofErr w:type="gramStart"/>
      <w:r>
        <w:rPr>
          <w:rFonts w:cs="Arial"/>
          <w:szCs w:val="20"/>
          <w:lang w:val="en-NZ"/>
        </w:rPr>
        <w:t>attempt</w:t>
      </w:r>
      <w:proofErr w:type="gramEnd"/>
      <w:r>
        <w:rPr>
          <w:rFonts w:cs="Arial"/>
          <w:szCs w:val="20"/>
          <w:lang w:val="en-NZ"/>
        </w:rPr>
        <w:t xml:space="preserve"> will be granted automatically for competenc</w:t>
      </w:r>
      <w:r w:rsidR="004A658D">
        <w:rPr>
          <w:rFonts w:cs="Arial"/>
          <w:szCs w:val="20"/>
          <w:lang w:val="en-NZ"/>
        </w:rPr>
        <w:t>y</w:t>
      </w:r>
      <w:r>
        <w:rPr>
          <w:rFonts w:cs="Arial"/>
          <w:szCs w:val="20"/>
          <w:lang w:val="en-NZ"/>
        </w:rPr>
        <w:t xml:space="preserve"> based assessments </w:t>
      </w:r>
      <w:r w:rsidR="00D153C2">
        <w:rPr>
          <w:rFonts w:cs="Arial"/>
          <w:szCs w:val="20"/>
          <w:lang w:val="en-NZ"/>
        </w:rPr>
        <w:t>where a first attempt has genuinely been attempted</w:t>
      </w:r>
      <w:r w:rsidR="00275DCE">
        <w:rPr>
          <w:rFonts w:cs="Arial"/>
          <w:szCs w:val="20"/>
          <w:lang w:val="en-NZ"/>
        </w:rPr>
        <w:t xml:space="preserve">. </w:t>
      </w:r>
      <w:r>
        <w:rPr>
          <w:rFonts w:cs="Arial"/>
          <w:szCs w:val="20"/>
          <w:lang w:val="en-NZ"/>
        </w:rPr>
        <w:t xml:space="preserve">Resit attempt scheduling </w:t>
      </w:r>
      <w:r w:rsidR="00275DCE">
        <w:rPr>
          <w:rFonts w:cs="Arial"/>
          <w:szCs w:val="20"/>
          <w:lang w:val="en-NZ"/>
        </w:rPr>
        <w:t xml:space="preserve">and any resit beyond three attempts </w:t>
      </w:r>
      <w:r>
        <w:rPr>
          <w:rFonts w:cs="Arial"/>
          <w:szCs w:val="20"/>
          <w:lang w:val="en-NZ"/>
        </w:rPr>
        <w:t xml:space="preserve">will be at the sole discretion of </w:t>
      </w:r>
      <w:r w:rsidR="00275DCE">
        <w:rPr>
          <w:rFonts w:cs="Arial"/>
          <w:szCs w:val="20"/>
          <w:lang w:val="en-NZ"/>
        </w:rPr>
        <w:t xml:space="preserve">the </w:t>
      </w:r>
      <w:r w:rsidR="00893B2F">
        <w:rPr>
          <w:rFonts w:cs="Arial"/>
          <w:szCs w:val="20"/>
          <w:lang w:val="en-NZ"/>
        </w:rPr>
        <w:t>ATNZ</w:t>
      </w:r>
      <w:r>
        <w:rPr>
          <w:rFonts w:cs="Arial"/>
          <w:szCs w:val="20"/>
          <w:lang w:val="en-NZ"/>
        </w:rPr>
        <w:t xml:space="preserve"> </w:t>
      </w:r>
      <w:r w:rsidR="00275DCE">
        <w:rPr>
          <w:rFonts w:cs="Arial"/>
          <w:szCs w:val="20"/>
          <w:lang w:val="en-NZ"/>
        </w:rPr>
        <w:t xml:space="preserve">PTE Manager </w:t>
      </w:r>
      <w:r>
        <w:rPr>
          <w:rFonts w:cs="Arial"/>
          <w:szCs w:val="20"/>
          <w:lang w:val="en-NZ"/>
        </w:rPr>
        <w:t>within available resourcing and staffing</w:t>
      </w:r>
      <w:r w:rsidR="00D153C2">
        <w:rPr>
          <w:rFonts w:cs="Arial"/>
          <w:szCs w:val="20"/>
          <w:lang w:val="en-NZ"/>
        </w:rPr>
        <w:t>.</w:t>
      </w:r>
    </w:p>
    <w:p w14:paraId="6A699279" w14:textId="77777777" w:rsidR="00926B85" w:rsidRDefault="00926B85" w:rsidP="00F66B9A">
      <w:pPr>
        <w:pStyle w:val="BlockNumber"/>
        <w:ind w:left="1587" w:hanging="873"/>
        <w:rPr>
          <w:rFonts w:cs="Arial"/>
          <w:szCs w:val="20"/>
          <w:lang w:val="en-NZ"/>
        </w:rPr>
      </w:pPr>
      <w:r>
        <w:rPr>
          <w:rFonts w:cs="Arial"/>
          <w:szCs w:val="20"/>
          <w:lang w:val="en-NZ"/>
        </w:rPr>
        <w:lastRenderedPageBreak/>
        <w:t>A fee may be charged for any resits that are permitted.</w:t>
      </w:r>
    </w:p>
    <w:p w14:paraId="6F252124" w14:textId="340DE671" w:rsidR="00A45769" w:rsidRDefault="004666C6" w:rsidP="00F66B9A">
      <w:pPr>
        <w:pStyle w:val="BlockNumber"/>
        <w:ind w:left="1587" w:hanging="873"/>
        <w:rPr>
          <w:rFonts w:cs="Arial"/>
          <w:szCs w:val="20"/>
          <w:lang w:val="en-NZ"/>
        </w:rPr>
      </w:pPr>
      <w:r>
        <w:rPr>
          <w:rFonts w:cs="Arial"/>
          <w:szCs w:val="20"/>
          <w:lang w:val="en-NZ"/>
        </w:rPr>
        <w:t>Specific Programme Regulations</w:t>
      </w:r>
      <w:r w:rsidR="00A45769">
        <w:rPr>
          <w:rFonts w:cs="Arial"/>
          <w:szCs w:val="20"/>
          <w:lang w:val="en-NZ"/>
        </w:rPr>
        <w:t xml:space="preserve"> may state a maximum period for completion of a programme. In such cases, the period will be calculated from the start date of the first course in the programme in which the </w:t>
      </w:r>
      <w:r w:rsidR="00893B2F">
        <w:rPr>
          <w:rFonts w:cs="Arial"/>
          <w:szCs w:val="20"/>
          <w:lang w:val="en-NZ"/>
        </w:rPr>
        <w:t>learner</w:t>
      </w:r>
      <w:r w:rsidR="00A45769">
        <w:rPr>
          <w:rFonts w:cs="Arial"/>
          <w:szCs w:val="20"/>
          <w:lang w:val="en-NZ"/>
        </w:rPr>
        <w:t xml:space="preserve"> is enrolled. </w:t>
      </w:r>
    </w:p>
    <w:p w14:paraId="7E756593" w14:textId="203F3C91" w:rsidR="004666C6" w:rsidRDefault="00A45769" w:rsidP="00F66B9A">
      <w:pPr>
        <w:pStyle w:val="BlockNumber"/>
        <w:ind w:left="1587" w:hanging="873"/>
        <w:rPr>
          <w:rFonts w:cs="Arial"/>
          <w:szCs w:val="20"/>
          <w:lang w:val="en-NZ"/>
        </w:rPr>
      </w:pPr>
      <w:r>
        <w:rPr>
          <w:rFonts w:cs="Arial"/>
          <w:szCs w:val="20"/>
          <w:lang w:val="en-NZ"/>
        </w:rPr>
        <w:t xml:space="preserve">In extenuating circumstances, the </w:t>
      </w:r>
      <w:r w:rsidR="00275DCE">
        <w:rPr>
          <w:rFonts w:cs="Arial"/>
          <w:szCs w:val="20"/>
          <w:lang w:val="en-NZ"/>
        </w:rPr>
        <w:t xml:space="preserve">PTE Manager </w:t>
      </w:r>
      <w:r>
        <w:rPr>
          <w:rFonts w:cs="Arial"/>
          <w:szCs w:val="20"/>
          <w:lang w:val="en-NZ"/>
        </w:rPr>
        <w:t xml:space="preserve">or their specified delegate may extend the maximum period allowed for programme completion.  </w:t>
      </w:r>
    </w:p>
    <w:p w14:paraId="78C6B036" w14:textId="75A149AD" w:rsidR="004E622E" w:rsidRDefault="00893B2F" w:rsidP="00F66B9A">
      <w:pPr>
        <w:pStyle w:val="BlockNumber"/>
        <w:ind w:left="1587" w:hanging="873"/>
        <w:rPr>
          <w:rFonts w:cs="Arial"/>
          <w:szCs w:val="20"/>
          <w:lang w:val="en-NZ"/>
        </w:rPr>
      </w:pPr>
      <w:r>
        <w:rPr>
          <w:rFonts w:cs="Arial"/>
          <w:szCs w:val="20"/>
          <w:lang w:val="en-NZ"/>
        </w:rPr>
        <w:t>Learner</w:t>
      </w:r>
      <w:r w:rsidR="004E622E">
        <w:rPr>
          <w:rFonts w:cs="Arial"/>
          <w:szCs w:val="20"/>
          <w:lang w:val="en-NZ"/>
        </w:rPr>
        <w:t xml:space="preserve">s must submit assessments by the due dates and times. Unless otherwise specified in Programme Regulations or </w:t>
      </w:r>
      <w:r w:rsidR="00926B85">
        <w:rPr>
          <w:rFonts w:cs="Arial"/>
          <w:szCs w:val="20"/>
          <w:lang w:val="en-NZ"/>
        </w:rPr>
        <w:t xml:space="preserve">in cases where </w:t>
      </w:r>
      <w:r w:rsidR="004E622E">
        <w:rPr>
          <w:rFonts w:cs="Arial"/>
          <w:szCs w:val="20"/>
          <w:lang w:val="en-NZ"/>
        </w:rPr>
        <w:t xml:space="preserve">an extension </w:t>
      </w:r>
      <w:r w:rsidR="00926B85">
        <w:rPr>
          <w:rFonts w:cs="Arial"/>
          <w:szCs w:val="20"/>
          <w:lang w:val="en-NZ"/>
        </w:rPr>
        <w:t xml:space="preserve">has </w:t>
      </w:r>
      <w:r w:rsidR="004E622E">
        <w:rPr>
          <w:rFonts w:cs="Arial"/>
          <w:szCs w:val="20"/>
          <w:lang w:val="en-NZ"/>
        </w:rPr>
        <w:t xml:space="preserve">been granted, the </w:t>
      </w:r>
      <w:r w:rsidR="007014C4">
        <w:rPr>
          <w:rFonts w:cs="Arial"/>
          <w:szCs w:val="20"/>
          <w:lang w:val="en-NZ"/>
        </w:rPr>
        <w:t xml:space="preserve">Account Manager or </w:t>
      </w:r>
      <w:r w:rsidR="004E622E">
        <w:rPr>
          <w:rFonts w:cs="Arial"/>
          <w:szCs w:val="20"/>
          <w:lang w:val="en-NZ"/>
        </w:rPr>
        <w:t>Tutor responsible for the assessment may, at their discretion:</w:t>
      </w:r>
    </w:p>
    <w:p w14:paraId="7962F289" w14:textId="77777777" w:rsidR="004E622E" w:rsidRDefault="004E622E" w:rsidP="00566D87">
      <w:pPr>
        <w:pStyle w:val="BlockNumber"/>
        <w:numPr>
          <w:ilvl w:val="0"/>
          <w:numId w:val="13"/>
        </w:numPr>
        <w:spacing w:before="0"/>
        <w:ind w:left="2268" w:hanging="567"/>
      </w:pPr>
      <w:r>
        <w:t xml:space="preserve">lower the achieved grade as a penalty for lateness in an achievement based </w:t>
      </w:r>
      <w:proofErr w:type="gramStart"/>
      <w:r>
        <w:t>assessment</w:t>
      </w:r>
      <w:proofErr w:type="gramEnd"/>
      <w:r w:rsidRPr="004E622E">
        <w:t xml:space="preserve"> </w:t>
      </w:r>
    </w:p>
    <w:p w14:paraId="63FF79C3" w14:textId="77777777" w:rsidR="004E622E" w:rsidRDefault="004E622E" w:rsidP="00566D87">
      <w:pPr>
        <w:pStyle w:val="BlockNumber"/>
        <w:numPr>
          <w:ilvl w:val="0"/>
          <w:numId w:val="12"/>
        </w:numPr>
        <w:spacing w:before="0"/>
        <w:ind w:left="2268" w:hanging="567"/>
      </w:pPr>
      <w:r>
        <w:t xml:space="preserve">regard the piece of work as a first Not Competent attempt at a competency based </w:t>
      </w:r>
      <w:proofErr w:type="gramStart"/>
      <w:r>
        <w:t>assessment</w:t>
      </w:r>
      <w:proofErr w:type="gramEnd"/>
      <w:r>
        <w:t xml:space="preserve"> </w:t>
      </w:r>
    </w:p>
    <w:p w14:paraId="5AEF21C1" w14:textId="40BEE8F4" w:rsidR="004E622E" w:rsidRDefault="004E622E" w:rsidP="00566D87">
      <w:pPr>
        <w:pStyle w:val="BlockNumber"/>
        <w:numPr>
          <w:ilvl w:val="0"/>
          <w:numId w:val="12"/>
        </w:numPr>
        <w:spacing w:before="0"/>
        <w:ind w:left="2268" w:hanging="567"/>
      </w:pPr>
      <w:r>
        <w:t xml:space="preserve">in consultation with the Academic </w:t>
      </w:r>
      <w:r w:rsidR="00275DCE">
        <w:t xml:space="preserve">Manager </w:t>
      </w:r>
      <w:r>
        <w:t>or their specified delegate, refuse to accept or mark a piece of work not submitted by the due date and award it a no grade, 0% or Not Competent.</w:t>
      </w:r>
    </w:p>
    <w:p w14:paraId="22EEC2E1" w14:textId="66B59D14" w:rsidR="004E622E" w:rsidRPr="004E622E" w:rsidRDefault="00893B2F" w:rsidP="004E622E">
      <w:pPr>
        <w:pStyle w:val="BlockNumber"/>
        <w:ind w:left="1560" w:hanging="851"/>
      </w:pPr>
      <w:r>
        <w:t>Learner</w:t>
      </w:r>
      <w:r w:rsidR="004E622E">
        <w:t xml:space="preserve">s may apply for extensions to assessment deadlines in extenuating circumstances that are beyond the control of the </w:t>
      </w:r>
      <w:r>
        <w:t>learner</w:t>
      </w:r>
      <w:r w:rsidR="004E622E">
        <w:t xml:space="preserve">. </w:t>
      </w:r>
    </w:p>
    <w:p w14:paraId="3CB6FC71" w14:textId="77777777" w:rsidR="004E622E" w:rsidRDefault="004E622E" w:rsidP="00566D87">
      <w:pPr>
        <w:pStyle w:val="BlockNumber"/>
        <w:numPr>
          <w:ilvl w:val="0"/>
          <w:numId w:val="12"/>
        </w:numPr>
        <w:spacing w:before="0"/>
        <w:ind w:left="2268" w:hanging="567"/>
        <w:rPr>
          <w:rFonts w:cs="Arial"/>
          <w:szCs w:val="20"/>
          <w:lang w:val="en-NZ"/>
        </w:rPr>
      </w:pPr>
      <w:r>
        <w:rPr>
          <w:rFonts w:cs="Arial"/>
          <w:szCs w:val="20"/>
          <w:lang w:val="en-NZ"/>
        </w:rPr>
        <w:t>Applications must be made in writing to the Course Tutor at least 3 days before the scheduled deadline.</w:t>
      </w:r>
    </w:p>
    <w:p w14:paraId="52FF588F" w14:textId="5E574CEE" w:rsidR="004E622E" w:rsidRDefault="004E622E" w:rsidP="00566D87">
      <w:pPr>
        <w:pStyle w:val="BlockNumber"/>
        <w:numPr>
          <w:ilvl w:val="0"/>
          <w:numId w:val="12"/>
        </w:numPr>
        <w:spacing w:before="0"/>
        <w:ind w:left="2268" w:hanging="567"/>
        <w:rPr>
          <w:rFonts w:cs="Arial"/>
          <w:szCs w:val="20"/>
          <w:lang w:val="en-NZ"/>
        </w:rPr>
      </w:pPr>
      <w:r>
        <w:rPr>
          <w:rFonts w:cs="Arial"/>
          <w:szCs w:val="20"/>
          <w:lang w:val="en-NZ"/>
        </w:rPr>
        <w:t xml:space="preserve">Applications must be submitted </w:t>
      </w:r>
      <w:r w:rsidR="00275DCE">
        <w:rPr>
          <w:rFonts w:cs="Arial"/>
          <w:szCs w:val="20"/>
          <w:lang w:val="en-NZ"/>
        </w:rPr>
        <w:t>by email.</w:t>
      </w:r>
    </w:p>
    <w:p w14:paraId="28F55A2A" w14:textId="37BFB963" w:rsidR="00BD4E29" w:rsidRDefault="004E622E" w:rsidP="00566D87">
      <w:pPr>
        <w:pStyle w:val="BlockNumber"/>
        <w:numPr>
          <w:ilvl w:val="0"/>
          <w:numId w:val="12"/>
        </w:numPr>
        <w:spacing w:before="0"/>
        <w:ind w:left="2268" w:hanging="567"/>
        <w:rPr>
          <w:rFonts w:cs="Arial"/>
          <w:szCs w:val="20"/>
          <w:lang w:val="en-NZ"/>
        </w:rPr>
      </w:pPr>
      <w:r>
        <w:rPr>
          <w:rFonts w:cs="Arial"/>
          <w:szCs w:val="20"/>
          <w:lang w:val="en-NZ"/>
        </w:rPr>
        <w:t>The Course Tutor will advise the outcome of the application within 2 working days of receipt</w:t>
      </w:r>
      <w:r w:rsidR="00B62FAD">
        <w:rPr>
          <w:rFonts w:cs="Arial"/>
          <w:szCs w:val="20"/>
          <w:lang w:val="en-NZ"/>
        </w:rPr>
        <w:t>.</w:t>
      </w:r>
      <w:r w:rsidR="00BD4E29">
        <w:rPr>
          <w:rFonts w:cs="Arial"/>
          <w:szCs w:val="20"/>
          <w:lang w:val="en-NZ"/>
        </w:rPr>
        <w:t xml:space="preserve"> </w:t>
      </w:r>
    </w:p>
    <w:p w14:paraId="39035DFD" w14:textId="28DFDC95" w:rsidR="00736967" w:rsidRPr="00032FAF" w:rsidRDefault="00893B2F" w:rsidP="000C0902">
      <w:pPr>
        <w:pStyle w:val="Heading2No"/>
        <w:rPr>
          <w:rFonts w:cs="Arial"/>
          <w:szCs w:val="20"/>
          <w:lang w:val="en-NZ"/>
        </w:rPr>
      </w:pPr>
      <w:r>
        <w:rPr>
          <w:rFonts w:cs="Arial"/>
          <w:szCs w:val="20"/>
          <w:lang w:val="en-NZ"/>
        </w:rPr>
        <w:t>Learner</w:t>
      </w:r>
      <w:r w:rsidR="00630FA3" w:rsidRPr="00032FAF">
        <w:rPr>
          <w:rFonts w:cs="Arial"/>
          <w:szCs w:val="20"/>
          <w:lang w:val="en-NZ"/>
        </w:rPr>
        <w:t xml:space="preserve"> availability</w:t>
      </w:r>
    </w:p>
    <w:p w14:paraId="289FCA80" w14:textId="40A3A647" w:rsidR="000A3012" w:rsidRDefault="00893B2F" w:rsidP="00766BF9">
      <w:pPr>
        <w:pStyle w:val="BlockNumber"/>
        <w:ind w:left="1587" w:hanging="873"/>
        <w:rPr>
          <w:rFonts w:cs="Arial"/>
          <w:szCs w:val="20"/>
          <w:lang w:val="en-NZ"/>
        </w:rPr>
      </w:pPr>
      <w:r>
        <w:rPr>
          <w:rFonts w:cs="Arial"/>
          <w:szCs w:val="20"/>
          <w:lang w:val="en-NZ"/>
        </w:rPr>
        <w:t>Learner</w:t>
      </w:r>
      <w:r w:rsidR="00630FA3" w:rsidRPr="0003653F">
        <w:rPr>
          <w:rFonts w:cs="Arial"/>
          <w:szCs w:val="20"/>
          <w:lang w:val="en-NZ"/>
        </w:rPr>
        <w:t xml:space="preserve">s who have two or more examinations/tests </w:t>
      </w:r>
      <w:r w:rsidR="002A7E62" w:rsidRPr="0003653F">
        <w:rPr>
          <w:rFonts w:cs="Arial"/>
          <w:szCs w:val="20"/>
          <w:lang w:val="en-NZ"/>
        </w:rPr>
        <w:t xml:space="preserve">scheduled </w:t>
      </w:r>
      <w:r w:rsidR="00630FA3" w:rsidRPr="0003653F">
        <w:rPr>
          <w:rFonts w:cs="Arial"/>
          <w:szCs w:val="20"/>
          <w:lang w:val="en-NZ"/>
        </w:rPr>
        <w:t xml:space="preserve">at the same time must inform the </w:t>
      </w:r>
      <w:r w:rsidR="00275DCE">
        <w:rPr>
          <w:rFonts w:cs="Arial"/>
          <w:szCs w:val="20"/>
          <w:lang w:val="en-NZ"/>
        </w:rPr>
        <w:t>PTE Manager</w:t>
      </w:r>
      <w:r w:rsidR="00013205">
        <w:rPr>
          <w:rFonts w:cs="Arial"/>
          <w:szCs w:val="20"/>
          <w:lang w:val="en-NZ"/>
        </w:rPr>
        <w:t xml:space="preserve"> </w:t>
      </w:r>
      <w:r w:rsidR="00630FA3" w:rsidRPr="0003653F">
        <w:rPr>
          <w:rFonts w:cs="Arial"/>
          <w:szCs w:val="20"/>
          <w:lang w:val="en-NZ"/>
        </w:rPr>
        <w:t xml:space="preserve">in writing at least four weeks before the examinations/tests are to be held. </w:t>
      </w:r>
      <w:r w:rsidR="00460FAF" w:rsidRPr="0003653F">
        <w:rPr>
          <w:rFonts w:cs="Arial"/>
          <w:szCs w:val="20"/>
          <w:lang w:val="en-NZ"/>
        </w:rPr>
        <w:t xml:space="preserve"> </w:t>
      </w:r>
      <w:r w:rsidR="00FC37A2" w:rsidRPr="0003653F">
        <w:rPr>
          <w:rFonts w:cs="Arial"/>
          <w:szCs w:val="20"/>
          <w:lang w:val="en-NZ"/>
        </w:rPr>
        <w:t xml:space="preserve">Where </w:t>
      </w:r>
      <w:r w:rsidR="00630FA3" w:rsidRPr="0003653F">
        <w:rPr>
          <w:rFonts w:cs="Arial"/>
          <w:szCs w:val="20"/>
          <w:lang w:val="en-NZ"/>
        </w:rPr>
        <w:t xml:space="preserve">possible, </w:t>
      </w:r>
      <w:r>
        <w:rPr>
          <w:rFonts w:cs="Arial"/>
          <w:szCs w:val="20"/>
          <w:lang w:val="en-NZ"/>
        </w:rPr>
        <w:t>learner</w:t>
      </w:r>
      <w:r w:rsidR="00630FA3" w:rsidRPr="0003653F">
        <w:rPr>
          <w:rFonts w:cs="Arial"/>
          <w:szCs w:val="20"/>
          <w:lang w:val="en-NZ"/>
        </w:rPr>
        <w:t>s will be required to sit all examinations/tests on the same day.</w:t>
      </w:r>
    </w:p>
    <w:p w14:paraId="15285A15" w14:textId="49FEDCB2" w:rsidR="004A307C" w:rsidRDefault="00893B2F" w:rsidP="00766BF9">
      <w:pPr>
        <w:pStyle w:val="BlockNumber"/>
        <w:ind w:left="1587" w:hanging="873"/>
        <w:rPr>
          <w:rFonts w:cs="Arial"/>
          <w:szCs w:val="20"/>
          <w:lang w:val="en-NZ"/>
        </w:rPr>
      </w:pPr>
      <w:r>
        <w:rPr>
          <w:rFonts w:cs="Arial"/>
          <w:szCs w:val="20"/>
          <w:lang w:val="en-NZ"/>
        </w:rPr>
        <w:t>ATNZ</w:t>
      </w:r>
      <w:r w:rsidR="004A307C">
        <w:rPr>
          <w:rFonts w:cs="Arial"/>
          <w:szCs w:val="20"/>
          <w:lang w:val="en-NZ"/>
        </w:rPr>
        <w:t xml:space="preserve"> will allow assessments for any </w:t>
      </w:r>
      <w:r>
        <w:rPr>
          <w:rFonts w:cs="Arial"/>
          <w:szCs w:val="20"/>
          <w:lang w:val="en-NZ"/>
        </w:rPr>
        <w:t>learner</w:t>
      </w:r>
      <w:r w:rsidR="004A307C">
        <w:rPr>
          <w:rFonts w:cs="Arial"/>
          <w:szCs w:val="20"/>
          <w:lang w:val="en-NZ"/>
        </w:rPr>
        <w:t xml:space="preserve"> to be undertaken at different times to those scheduled only in exceptional circumstances and where the provision of the assessment can reasonably be conducted within the staffing and other resources available.  </w:t>
      </w:r>
    </w:p>
    <w:p w14:paraId="48149957" w14:textId="77777777" w:rsidR="00736967" w:rsidRPr="00A45769" w:rsidRDefault="00630FA3" w:rsidP="00A45769">
      <w:pPr>
        <w:pStyle w:val="Heading2No"/>
        <w:rPr>
          <w:szCs w:val="20"/>
        </w:rPr>
      </w:pPr>
      <w:r w:rsidRPr="00A45769">
        <w:rPr>
          <w:szCs w:val="20"/>
        </w:rPr>
        <w:t xml:space="preserve">Changes to </w:t>
      </w:r>
      <w:r w:rsidR="00E16BCA" w:rsidRPr="00A45769">
        <w:rPr>
          <w:szCs w:val="20"/>
        </w:rPr>
        <w:t xml:space="preserve">summative </w:t>
      </w:r>
      <w:r w:rsidRPr="00A45769">
        <w:rPr>
          <w:szCs w:val="20"/>
        </w:rPr>
        <w:t>assessment</w:t>
      </w:r>
    </w:p>
    <w:p w14:paraId="594B83E8" w14:textId="28193F6F" w:rsidR="009F6DFE" w:rsidRPr="0003653F" w:rsidRDefault="00630FA3" w:rsidP="00766BF9">
      <w:pPr>
        <w:pStyle w:val="BlockNumber"/>
        <w:ind w:left="1587" w:hanging="873"/>
        <w:rPr>
          <w:rFonts w:cs="Arial"/>
          <w:szCs w:val="20"/>
          <w:lang w:val="en-NZ"/>
        </w:rPr>
      </w:pPr>
      <w:r w:rsidRPr="0003653F">
        <w:rPr>
          <w:rFonts w:cs="Arial"/>
          <w:szCs w:val="20"/>
          <w:lang w:val="en-NZ"/>
        </w:rPr>
        <w:t xml:space="preserve">Changes to </w:t>
      </w:r>
      <w:r w:rsidR="00E16BCA" w:rsidRPr="0003653F">
        <w:rPr>
          <w:rFonts w:cs="Arial"/>
          <w:szCs w:val="20"/>
          <w:lang w:val="en-NZ"/>
        </w:rPr>
        <w:t xml:space="preserve">summative </w:t>
      </w:r>
      <w:r w:rsidRPr="0003653F">
        <w:rPr>
          <w:rFonts w:cs="Arial"/>
          <w:szCs w:val="20"/>
          <w:lang w:val="en-NZ"/>
        </w:rPr>
        <w:t xml:space="preserve">assessment requirements </w:t>
      </w:r>
      <w:r w:rsidR="00B67CF9" w:rsidRPr="0003653F">
        <w:rPr>
          <w:rFonts w:cs="Arial"/>
          <w:szCs w:val="20"/>
          <w:lang w:val="en-NZ"/>
        </w:rPr>
        <w:t>shall</w:t>
      </w:r>
      <w:r w:rsidRPr="0003653F">
        <w:rPr>
          <w:rFonts w:cs="Arial"/>
          <w:szCs w:val="20"/>
          <w:lang w:val="en-NZ"/>
        </w:rPr>
        <w:t xml:space="preserve"> not be made </w:t>
      </w:r>
      <w:r w:rsidR="006C60A7" w:rsidRPr="0003653F">
        <w:rPr>
          <w:rFonts w:cs="Arial"/>
          <w:szCs w:val="20"/>
          <w:lang w:val="en-NZ"/>
        </w:rPr>
        <w:t xml:space="preserve">by </w:t>
      </w:r>
      <w:r w:rsidR="00893B2F">
        <w:rPr>
          <w:rFonts w:cs="Arial"/>
          <w:szCs w:val="20"/>
          <w:lang w:val="en-NZ"/>
        </w:rPr>
        <w:t>ATNZ</w:t>
      </w:r>
      <w:r w:rsidR="006C60A7" w:rsidRPr="0003653F">
        <w:rPr>
          <w:rFonts w:cs="Arial"/>
          <w:szCs w:val="20"/>
          <w:lang w:val="en-NZ"/>
        </w:rPr>
        <w:t xml:space="preserve"> </w:t>
      </w:r>
      <w:r w:rsidR="00CB1E65" w:rsidRPr="0003653F">
        <w:rPr>
          <w:rFonts w:cs="Arial"/>
          <w:szCs w:val="20"/>
          <w:lang w:val="en-NZ"/>
        </w:rPr>
        <w:t xml:space="preserve">after a </w:t>
      </w:r>
      <w:r w:rsidRPr="0003653F">
        <w:rPr>
          <w:rFonts w:cs="Arial"/>
          <w:szCs w:val="20"/>
          <w:lang w:val="en-NZ"/>
        </w:rPr>
        <w:t xml:space="preserve">course </w:t>
      </w:r>
      <w:r w:rsidR="00CB1E65" w:rsidRPr="0003653F">
        <w:rPr>
          <w:rFonts w:cs="Arial"/>
          <w:szCs w:val="20"/>
          <w:lang w:val="en-NZ"/>
        </w:rPr>
        <w:t xml:space="preserve">begins </w:t>
      </w:r>
      <w:r w:rsidRPr="0003653F">
        <w:rPr>
          <w:rFonts w:cs="Arial"/>
          <w:szCs w:val="20"/>
          <w:lang w:val="en-NZ"/>
        </w:rPr>
        <w:t xml:space="preserve">except in exceptional circumstances.  Any such changes </w:t>
      </w:r>
      <w:r w:rsidR="00B67CF9" w:rsidRPr="0003653F">
        <w:rPr>
          <w:rFonts w:cs="Arial"/>
          <w:szCs w:val="20"/>
          <w:lang w:val="en-NZ"/>
        </w:rPr>
        <w:t>shall</w:t>
      </w:r>
      <w:r w:rsidRPr="0003653F">
        <w:rPr>
          <w:rFonts w:cs="Arial"/>
          <w:szCs w:val="20"/>
          <w:lang w:val="en-NZ"/>
        </w:rPr>
        <w:t xml:space="preserve"> be notified in writing to</w:t>
      </w:r>
      <w:r w:rsidR="009E3A66">
        <w:rPr>
          <w:rFonts w:cs="Arial"/>
          <w:szCs w:val="20"/>
          <w:lang w:val="en-NZ"/>
        </w:rPr>
        <w:t xml:space="preserve"> all</w:t>
      </w:r>
      <w:r w:rsidRPr="0003653F">
        <w:rPr>
          <w:rFonts w:cs="Arial"/>
          <w:szCs w:val="20"/>
          <w:lang w:val="en-NZ"/>
        </w:rPr>
        <w:t xml:space="preserve"> </w:t>
      </w:r>
      <w:r w:rsidR="00893B2F">
        <w:rPr>
          <w:rFonts w:cs="Arial"/>
          <w:szCs w:val="20"/>
          <w:lang w:val="en-NZ"/>
        </w:rPr>
        <w:t>learner</w:t>
      </w:r>
      <w:r w:rsidRPr="0003653F">
        <w:rPr>
          <w:rFonts w:cs="Arial"/>
          <w:szCs w:val="20"/>
          <w:lang w:val="en-NZ"/>
        </w:rPr>
        <w:t xml:space="preserve">s enrolled </w:t>
      </w:r>
      <w:r w:rsidR="00931F67" w:rsidRPr="0003653F">
        <w:rPr>
          <w:rFonts w:cs="Arial"/>
          <w:szCs w:val="20"/>
          <w:lang w:val="en-NZ"/>
        </w:rPr>
        <w:t>i</w:t>
      </w:r>
      <w:r w:rsidRPr="0003653F">
        <w:rPr>
          <w:rFonts w:cs="Arial"/>
          <w:szCs w:val="20"/>
          <w:lang w:val="en-NZ"/>
        </w:rPr>
        <w:t>n the course</w:t>
      </w:r>
      <w:r w:rsidR="00E9569E" w:rsidRPr="0003653F">
        <w:rPr>
          <w:rFonts w:cs="Arial"/>
          <w:szCs w:val="20"/>
          <w:lang w:val="en-NZ"/>
        </w:rPr>
        <w:t xml:space="preserve"> and shall not disadvantage any </w:t>
      </w:r>
      <w:r w:rsidR="00893B2F">
        <w:rPr>
          <w:rFonts w:cs="Arial"/>
          <w:szCs w:val="20"/>
          <w:lang w:val="en-NZ"/>
        </w:rPr>
        <w:t>learner</w:t>
      </w:r>
      <w:r w:rsidR="00E9569E" w:rsidRPr="0003653F">
        <w:rPr>
          <w:rFonts w:cs="Arial"/>
          <w:szCs w:val="20"/>
          <w:lang w:val="en-NZ"/>
        </w:rPr>
        <w:t>.</w:t>
      </w:r>
    </w:p>
    <w:p w14:paraId="41104B4D" w14:textId="77777777" w:rsidR="00D23794" w:rsidRPr="00032FAF" w:rsidRDefault="00E16BCA" w:rsidP="009F6DFE">
      <w:pPr>
        <w:pStyle w:val="Heading2No"/>
        <w:rPr>
          <w:rFonts w:cs="Arial"/>
          <w:szCs w:val="20"/>
          <w:lang w:val="en-NZ"/>
        </w:rPr>
      </w:pPr>
      <w:r w:rsidRPr="00032FAF">
        <w:rPr>
          <w:rFonts w:cs="Arial"/>
          <w:szCs w:val="20"/>
          <w:lang w:val="en-NZ"/>
        </w:rPr>
        <w:t>Summative a</w:t>
      </w:r>
      <w:r w:rsidR="00D23794" w:rsidRPr="00032FAF">
        <w:rPr>
          <w:rFonts w:cs="Arial"/>
          <w:szCs w:val="20"/>
          <w:lang w:val="en-NZ"/>
        </w:rPr>
        <w:t>ssessment in Te Reo Māori</w:t>
      </w:r>
    </w:p>
    <w:p w14:paraId="215194DA" w14:textId="02E1DA2A" w:rsidR="00D23794" w:rsidRPr="0003653F" w:rsidRDefault="00893B2F" w:rsidP="00766BF9">
      <w:pPr>
        <w:pStyle w:val="BlockNumber"/>
        <w:ind w:left="1587" w:hanging="873"/>
        <w:rPr>
          <w:rFonts w:cs="Arial"/>
          <w:szCs w:val="20"/>
          <w:lang w:val="en-NZ"/>
        </w:rPr>
      </w:pPr>
      <w:r>
        <w:rPr>
          <w:rFonts w:cs="Arial"/>
          <w:szCs w:val="20"/>
          <w:lang w:val="en-NZ"/>
        </w:rPr>
        <w:t>Learner</w:t>
      </w:r>
      <w:r w:rsidR="00D23794" w:rsidRPr="0003653F">
        <w:rPr>
          <w:rFonts w:cs="Arial"/>
          <w:szCs w:val="20"/>
          <w:lang w:val="en-NZ"/>
        </w:rPr>
        <w:t xml:space="preserve">s requesting </w:t>
      </w:r>
      <w:r w:rsidR="00E16BCA" w:rsidRPr="0003653F">
        <w:rPr>
          <w:rFonts w:cs="Arial"/>
          <w:szCs w:val="20"/>
          <w:lang w:val="en-NZ"/>
        </w:rPr>
        <w:t xml:space="preserve">summative </w:t>
      </w:r>
      <w:r w:rsidR="00D23794" w:rsidRPr="0003653F">
        <w:rPr>
          <w:rFonts w:cs="Arial"/>
          <w:szCs w:val="20"/>
          <w:lang w:val="en-NZ"/>
        </w:rPr>
        <w:t xml:space="preserve">assessment in Te Reo Māori </w:t>
      </w:r>
      <w:r w:rsidR="00E1565B" w:rsidRPr="0003653F">
        <w:rPr>
          <w:rFonts w:cs="Arial"/>
          <w:szCs w:val="20"/>
          <w:lang w:val="en-NZ"/>
        </w:rPr>
        <w:t>must</w:t>
      </w:r>
      <w:r w:rsidR="00D23794" w:rsidRPr="0003653F">
        <w:rPr>
          <w:rFonts w:cs="Arial"/>
          <w:szCs w:val="20"/>
          <w:lang w:val="en-NZ"/>
        </w:rPr>
        <w:t xml:space="preserve">, within </w:t>
      </w:r>
      <w:r w:rsidR="0049182C" w:rsidRPr="0003653F">
        <w:rPr>
          <w:rFonts w:cs="Arial"/>
          <w:szCs w:val="20"/>
          <w:lang w:val="en-NZ"/>
        </w:rPr>
        <w:t>one</w:t>
      </w:r>
      <w:r w:rsidR="00D23794" w:rsidRPr="0003653F">
        <w:rPr>
          <w:rFonts w:cs="Arial"/>
          <w:szCs w:val="20"/>
          <w:lang w:val="en-NZ"/>
        </w:rPr>
        <w:t xml:space="preserve"> week </w:t>
      </w:r>
      <w:r w:rsidR="002A5CF8" w:rsidRPr="0003653F">
        <w:rPr>
          <w:rFonts w:cs="Arial"/>
          <w:szCs w:val="20"/>
          <w:lang w:val="en-NZ"/>
        </w:rPr>
        <w:t xml:space="preserve">after </w:t>
      </w:r>
      <w:r w:rsidR="00D23794" w:rsidRPr="0003653F">
        <w:rPr>
          <w:rFonts w:cs="Arial"/>
          <w:szCs w:val="20"/>
          <w:lang w:val="en-NZ"/>
        </w:rPr>
        <w:t xml:space="preserve">the course </w:t>
      </w:r>
      <w:r w:rsidR="00F25EBF">
        <w:rPr>
          <w:rFonts w:cs="Arial"/>
          <w:szCs w:val="20"/>
          <w:lang w:val="en-NZ"/>
        </w:rPr>
        <w:t xml:space="preserve">or programme </w:t>
      </w:r>
      <w:r w:rsidR="00D23794" w:rsidRPr="0003653F">
        <w:rPr>
          <w:rFonts w:cs="Arial"/>
          <w:szCs w:val="20"/>
          <w:lang w:val="en-NZ"/>
        </w:rPr>
        <w:t xml:space="preserve">start date, give notice in writing </w:t>
      </w:r>
      <w:r w:rsidR="00F25EBF">
        <w:rPr>
          <w:rFonts w:cs="Arial"/>
          <w:szCs w:val="20"/>
          <w:lang w:val="en-NZ"/>
        </w:rPr>
        <w:t xml:space="preserve">through email </w:t>
      </w:r>
      <w:r w:rsidR="00D23794" w:rsidRPr="0003653F">
        <w:rPr>
          <w:rFonts w:cs="Arial"/>
          <w:szCs w:val="20"/>
          <w:lang w:val="en-NZ"/>
        </w:rPr>
        <w:t xml:space="preserve">to the </w:t>
      </w:r>
      <w:r w:rsidR="00F25EBF">
        <w:rPr>
          <w:rFonts w:cs="Arial"/>
          <w:szCs w:val="20"/>
          <w:lang w:val="en-NZ"/>
        </w:rPr>
        <w:t>Academic Manager</w:t>
      </w:r>
      <w:r w:rsidR="00D23794" w:rsidRPr="0003653F">
        <w:rPr>
          <w:rFonts w:cs="Arial"/>
          <w:szCs w:val="20"/>
          <w:lang w:val="en-NZ"/>
        </w:rPr>
        <w:t>.</w:t>
      </w:r>
    </w:p>
    <w:p w14:paraId="4DA1562F" w14:textId="77777777" w:rsidR="00096E65" w:rsidRDefault="0049182C" w:rsidP="00766BF9">
      <w:pPr>
        <w:pStyle w:val="BlockNumber"/>
        <w:ind w:left="1587" w:hanging="873"/>
        <w:rPr>
          <w:rFonts w:cs="Arial"/>
          <w:szCs w:val="20"/>
          <w:lang w:val="en-NZ"/>
        </w:rPr>
      </w:pPr>
      <w:r w:rsidRPr="0003653F">
        <w:rPr>
          <w:rFonts w:cs="Arial"/>
          <w:szCs w:val="20"/>
          <w:lang w:val="en-NZ"/>
        </w:rPr>
        <w:t xml:space="preserve">The </w:t>
      </w:r>
      <w:r w:rsidR="00F25EBF">
        <w:rPr>
          <w:rFonts w:cs="Arial"/>
          <w:szCs w:val="20"/>
          <w:lang w:val="en-NZ"/>
        </w:rPr>
        <w:t>Academic Manager</w:t>
      </w:r>
      <w:r w:rsidRPr="0003653F">
        <w:rPr>
          <w:rFonts w:cs="Arial"/>
          <w:szCs w:val="20"/>
          <w:lang w:val="en-NZ"/>
        </w:rPr>
        <w:t xml:space="preserve"> shall provide a written response to the request </w:t>
      </w:r>
      <w:r w:rsidR="008D7F41" w:rsidRPr="0003653F">
        <w:rPr>
          <w:rFonts w:cs="Arial"/>
          <w:szCs w:val="20"/>
          <w:lang w:val="en-NZ"/>
        </w:rPr>
        <w:t>within</w:t>
      </w:r>
      <w:r w:rsidRPr="0003653F">
        <w:rPr>
          <w:rFonts w:cs="Arial"/>
          <w:szCs w:val="20"/>
          <w:lang w:val="en-NZ"/>
        </w:rPr>
        <w:t xml:space="preserve"> two </w:t>
      </w:r>
      <w:r w:rsidR="002A7E62" w:rsidRPr="0003653F">
        <w:rPr>
          <w:rFonts w:cs="Arial"/>
          <w:szCs w:val="20"/>
          <w:lang w:val="en-NZ"/>
        </w:rPr>
        <w:t xml:space="preserve">calendar </w:t>
      </w:r>
      <w:r w:rsidRPr="0003653F">
        <w:rPr>
          <w:rFonts w:cs="Arial"/>
          <w:szCs w:val="20"/>
          <w:lang w:val="en-NZ"/>
        </w:rPr>
        <w:t xml:space="preserve">weeks after </w:t>
      </w:r>
      <w:r w:rsidR="008D7F41" w:rsidRPr="0003653F">
        <w:rPr>
          <w:rFonts w:cs="Arial"/>
          <w:szCs w:val="20"/>
          <w:lang w:val="en-NZ"/>
        </w:rPr>
        <w:t xml:space="preserve">the course start date. </w:t>
      </w:r>
    </w:p>
    <w:p w14:paraId="51C83939" w14:textId="6B524155" w:rsidR="0049182C" w:rsidRPr="0003653F" w:rsidRDefault="008D7F41" w:rsidP="00096E65">
      <w:pPr>
        <w:pStyle w:val="BlockNumber"/>
        <w:numPr>
          <w:ilvl w:val="0"/>
          <w:numId w:val="0"/>
        </w:numPr>
        <w:ind w:left="1587"/>
        <w:rPr>
          <w:rFonts w:cs="Arial"/>
          <w:szCs w:val="20"/>
          <w:lang w:val="en-NZ"/>
        </w:rPr>
      </w:pPr>
      <w:r w:rsidRPr="0003653F">
        <w:rPr>
          <w:rFonts w:cs="Arial"/>
          <w:szCs w:val="20"/>
          <w:lang w:val="en-NZ"/>
        </w:rPr>
        <w:lastRenderedPageBreak/>
        <w:t xml:space="preserve"> </w:t>
      </w:r>
    </w:p>
    <w:p w14:paraId="09482B3C" w14:textId="77777777" w:rsidR="004D38C9" w:rsidRPr="00032FAF" w:rsidRDefault="004D38C9" w:rsidP="004D38C9">
      <w:pPr>
        <w:pStyle w:val="Heading2No"/>
        <w:rPr>
          <w:rFonts w:cs="Arial"/>
          <w:szCs w:val="20"/>
          <w:lang w:val="en-NZ"/>
        </w:rPr>
      </w:pPr>
      <w:r w:rsidRPr="00032FAF">
        <w:rPr>
          <w:rFonts w:cs="Arial"/>
          <w:szCs w:val="20"/>
          <w:lang w:val="en-NZ"/>
        </w:rPr>
        <w:t>Plagiarism-detection software</w:t>
      </w:r>
    </w:p>
    <w:p w14:paraId="30AF4303" w14:textId="12D9A145" w:rsidR="004D38C9" w:rsidRPr="0003653F" w:rsidRDefault="00893B2F" w:rsidP="00A15F30">
      <w:pPr>
        <w:pStyle w:val="BlockNumber"/>
        <w:ind w:left="1587" w:hanging="873"/>
        <w:rPr>
          <w:rFonts w:cs="Arial"/>
          <w:szCs w:val="20"/>
        </w:rPr>
      </w:pPr>
      <w:r>
        <w:rPr>
          <w:rFonts w:cs="Arial"/>
          <w:szCs w:val="20"/>
        </w:rPr>
        <w:t>ATNZ</w:t>
      </w:r>
      <w:r w:rsidR="004D38C9" w:rsidRPr="0003653F">
        <w:rPr>
          <w:rFonts w:cs="Arial"/>
          <w:szCs w:val="20"/>
        </w:rPr>
        <w:t xml:space="preserve"> may </w:t>
      </w:r>
      <w:r w:rsidR="00377248">
        <w:rPr>
          <w:rFonts w:cs="Arial"/>
          <w:szCs w:val="20"/>
        </w:rPr>
        <w:t xml:space="preserve">at </w:t>
      </w:r>
      <w:r w:rsidR="00BC03BE">
        <w:rPr>
          <w:rFonts w:cs="Arial"/>
          <w:szCs w:val="20"/>
        </w:rPr>
        <w:t>its</w:t>
      </w:r>
      <w:r w:rsidR="00377248">
        <w:rPr>
          <w:rFonts w:cs="Arial"/>
          <w:szCs w:val="20"/>
        </w:rPr>
        <w:t xml:space="preserve"> own discretion </w:t>
      </w:r>
      <w:r w:rsidR="004D38C9" w:rsidRPr="0003653F">
        <w:rPr>
          <w:rFonts w:cs="Arial"/>
          <w:szCs w:val="20"/>
        </w:rPr>
        <w:t xml:space="preserve">use plagiarism-detection software or other means to confirm </w:t>
      </w:r>
      <w:r w:rsidR="00E16BCA" w:rsidRPr="0003653F">
        <w:rPr>
          <w:rFonts w:cs="Arial"/>
          <w:szCs w:val="20"/>
        </w:rPr>
        <w:t xml:space="preserve">a summative </w:t>
      </w:r>
      <w:r w:rsidR="004D38C9" w:rsidRPr="0003653F">
        <w:rPr>
          <w:rFonts w:cs="Arial"/>
          <w:szCs w:val="20"/>
        </w:rPr>
        <w:t xml:space="preserve">assessment is a </w:t>
      </w:r>
      <w:r>
        <w:rPr>
          <w:rFonts w:cs="Arial"/>
          <w:szCs w:val="20"/>
        </w:rPr>
        <w:t>learner</w:t>
      </w:r>
      <w:r w:rsidR="004D38C9" w:rsidRPr="0003653F">
        <w:rPr>
          <w:rFonts w:cs="Arial"/>
          <w:szCs w:val="20"/>
        </w:rPr>
        <w:t xml:space="preserve">’s own work.  </w:t>
      </w:r>
      <w:r w:rsidR="00E16BCA" w:rsidRPr="0003653F">
        <w:rPr>
          <w:rFonts w:cs="Arial"/>
          <w:szCs w:val="20"/>
        </w:rPr>
        <w:t xml:space="preserve">Work </w:t>
      </w:r>
      <w:r w:rsidR="004D38C9" w:rsidRPr="0003653F">
        <w:rPr>
          <w:rFonts w:cs="Arial"/>
          <w:szCs w:val="20"/>
        </w:rPr>
        <w:t xml:space="preserve">may be retained on a plagiarism-detection database for </w:t>
      </w:r>
      <w:r w:rsidR="00E16BCA" w:rsidRPr="0003653F">
        <w:rPr>
          <w:rFonts w:cs="Arial"/>
          <w:szCs w:val="20"/>
        </w:rPr>
        <w:t>on-going</w:t>
      </w:r>
      <w:r w:rsidR="004D38C9" w:rsidRPr="0003653F">
        <w:rPr>
          <w:rFonts w:cs="Arial"/>
          <w:szCs w:val="20"/>
        </w:rPr>
        <w:t xml:space="preserve"> comparison with other </w:t>
      </w:r>
      <w:r w:rsidR="00E16BCA" w:rsidRPr="0003653F">
        <w:rPr>
          <w:rFonts w:cs="Arial"/>
          <w:szCs w:val="20"/>
        </w:rPr>
        <w:t xml:space="preserve">work </w:t>
      </w:r>
      <w:r w:rsidR="006F08CE" w:rsidRPr="0003653F">
        <w:rPr>
          <w:rFonts w:cs="Arial"/>
          <w:szCs w:val="20"/>
        </w:rPr>
        <w:t>submitted</w:t>
      </w:r>
      <w:r w:rsidR="004D38C9" w:rsidRPr="0003653F">
        <w:rPr>
          <w:rFonts w:cs="Arial"/>
          <w:szCs w:val="20"/>
        </w:rPr>
        <w:t xml:space="preserve">.  </w:t>
      </w:r>
    </w:p>
    <w:p w14:paraId="4EAA95FE" w14:textId="7D4C38DF" w:rsidR="004D38C9" w:rsidRPr="0003653F" w:rsidRDefault="004D38C9" w:rsidP="00A15F30">
      <w:pPr>
        <w:pStyle w:val="BlockNumber"/>
        <w:ind w:left="1587" w:hanging="873"/>
        <w:rPr>
          <w:rFonts w:cs="Arial"/>
          <w:szCs w:val="20"/>
        </w:rPr>
      </w:pPr>
      <w:r w:rsidRPr="0003653F">
        <w:rPr>
          <w:rFonts w:cs="Arial"/>
          <w:szCs w:val="20"/>
        </w:rPr>
        <w:t xml:space="preserve">By enrolling in a course at </w:t>
      </w:r>
      <w:r w:rsidR="00893B2F">
        <w:rPr>
          <w:rFonts w:cs="Arial"/>
          <w:szCs w:val="20"/>
        </w:rPr>
        <w:t>ATNZ</w:t>
      </w:r>
      <w:r w:rsidR="002A7E62" w:rsidRPr="0003653F">
        <w:rPr>
          <w:rFonts w:cs="Arial"/>
          <w:szCs w:val="20"/>
        </w:rPr>
        <w:t>,</w:t>
      </w:r>
      <w:r w:rsidRPr="0003653F">
        <w:rPr>
          <w:rFonts w:cs="Arial"/>
          <w:szCs w:val="20"/>
        </w:rPr>
        <w:t xml:space="preserve"> </w:t>
      </w:r>
      <w:r w:rsidR="00893B2F">
        <w:rPr>
          <w:rFonts w:cs="Arial"/>
          <w:szCs w:val="20"/>
        </w:rPr>
        <w:t>learner</w:t>
      </w:r>
      <w:r w:rsidRPr="0003653F">
        <w:rPr>
          <w:rFonts w:cs="Arial"/>
          <w:szCs w:val="20"/>
        </w:rPr>
        <w:t xml:space="preserve">s agree to their work being </w:t>
      </w:r>
      <w:r w:rsidR="006F08CE" w:rsidRPr="0003653F">
        <w:rPr>
          <w:rFonts w:cs="Arial"/>
          <w:szCs w:val="20"/>
        </w:rPr>
        <w:t>submitted</w:t>
      </w:r>
      <w:r w:rsidRPr="0003653F">
        <w:rPr>
          <w:rFonts w:cs="Arial"/>
          <w:szCs w:val="20"/>
        </w:rPr>
        <w:t xml:space="preserve"> to plagiarism-detection software for checking. </w:t>
      </w:r>
      <w:r w:rsidR="002A7E62" w:rsidRPr="0003653F">
        <w:rPr>
          <w:rFonts w:cs="Arial"/>
          <w:szCs w:val="20"/>
        </w:rPr>
        <w:t xml:space="preserve"> </w:t>
      </w:r>
      <w:r w:rsidRPr="0003653F">
        <w:rPr>
          <w:rFonts w:cs="Arial"/>
          <w:szCs w:val="20"/>
        </w:rPr>
        <w:t>Declining to allow the use of the plagiarism</w:t>
      </w:r>
      <w:r w:rsidR="006C60A7" w:rsidRPr="0003653F">
        <w:rPr>
          <w:rFonts w:cs="Arial"/>
          <w:szCs w:val="20"/>
        </w:rPr>
        <w:t>-</w:t>
      </w:r>
      <w:r w:rsidRPr="0003653F">
        <w:rPr>
          <w:rFonts w:cs="Arial"/>
          <w:szCs w:val="20"/>
        </w:rPr>
        <w:t xml:space="preserve">detection software by </w:t>
      </w:r>
      <w:r w:rsidR="00893B2F">
        <w:rPr>
          <w:rFonts w:cs="Arial"/>
          <w:szCs w:val="20"/>
        </w:rPr>
        <w:t>ATNZ</w:t>
      </w:r>
      <w:r w:rsidRPr="0003653F">
        <w:rPr>
          <w:rFonts w:cs="Arial"/>
          <w:szCs w:val="20"/>
        </w:rPr>
        <w:t xml:space="preserve"> could result in a </w:t>
      </w:r>
      <w:r w:rsidR="00893B2F">
        <w:rPr>
          <w:rFonts w:cs="Arial"/>
          <w:szCs w:val="20"/>
        </w:rPr>
        <w:t>learner</w:t>
      </w:r>
      <w:r w:rsidRPr="0003653F">
        <w:rPr>
          <w:rFonts w:cs="Arial"/>
          <w:szCs w:val="20"/>
        </w:rPr>
        <w:t xml:space="preserve"> being unable to complete a </w:t>
      </w:r>
      <w:r w:rsidR="00A21B0D">
        <w:rPr>
          <w:rFonts w:cs="Arial"/>
          <w:szCs w:val="20"/>
        </w:rPr>
        <w:t xml:space="preserve">program or </w:t>
      </w:r>
      <w:r w:rsidRPr="0003653F">
        <w:rPr>
          <w:rFonts w:cs="Arial"/>
          <w:szCs w:val="20"/>
        </w:rPr>
        <w:t xml:space="preserve">course.  </w:t>
      </w:r>
    </w:p>
    <w:p w14:paraId="01490B31" w14:textId="77777777" w:rsidR="00C03BFF" w:rsidRPr="00032FAF" w:rsidRDefault="00D23794" w:rsidP="00C03BFF">
      <w:pPr>
        <w:pStyle w:val="Heading2No"/>
        <w:spacing w:before="360"/>
        <w:rPr>
          <w:rFonts w:cs="Arial"/>
          <w:szCs w:val="20"/>
          <w:lang w:val="en-NZ"/>
        </w:rPr>
      </w:pPr>
      <w:r w:rsidRPr="00032FAF">
        <w:rPr>
          <w:rFonts w:cs="Arial"/>
          <w:szCs w:val="20"/>
          <w:lang w:val="en-NZ"/>
        </w:rPr>
        <w:t>Examination and test assistance</w:t>
      </w:r>
    </w:p>
    <w:p w14:paraId="757C76D5" w14:textId="51EA6641" w:rsidR="00D23794" w:rsidRPr="0003653F" w:rsidRDefault="00893B2F" w:rsidP="006A3F08">
      <w:pPr>
        <w:pStyle w:val="BlockNumber"/>
        <w:ind w:left="1560" w:hanging="851"/>
        <w:rPr>
          <w:rFonts w:cs="Arial"/>
          <w:lang w:val="en-NZ"/>
        </w:rPr>
      </w:pPr>
      <w:r w:rsidRPr="000124EB">
        <w:rPr>
          <w:rFonts w:cs="Arial"/>
          <w:szCs w:val="20"/>
          <w:lang w:val="en-NZ"/>
        </w:rPr>
        <w:t>Learner</w:t>
      </w:r>
      <w:r w:rsidR="00D23794" w:rsidRPr="000124EB">
        <w:rPr>
          <w:rFonts w:cs="Arial"/>
          <w:szCs w:val="20"/>
          <w:lang w:val="en-NZ"/>
        </w:rPr>
        <w:t xml:space="preserve">s </w:t>
      </w:r>
      <w:r w:rsidR="00C03BFF" w:rsidRPr="000124EB">
        <w:rPr>
          <w:rFonts w:cs="Arial"/>
          <w:szCs w:val="20"/>
          <w:lang w:val="en-NZ"/>
        </w:rPr>
        <w:t xml:space="preserve">with </w:t>
      </w:r>
      <w:r w:rsidR="00391F20" w:rsidRPr="000124EB">
        <w:rPr>
          <w:rFonts w:cs="Arial"/>
          <w:szCs w:val="20"/>
          <w:lang w:val="en-NZ"/>
        </w:rPr>
        <w:t>an impairment</w:t>
      </w:r>
      <w:r w:rsidR="00DB7E74" w:rsidRPr="000124EB">
        <w:rPr>
          <w:rFonts w:cs="Arial"/>
          <w:szCs w:val="20"/>
          <w:lang w:val="en-NZ"/>
        </w:rPr>
        <w:t xml:space="preserve"> or other condition such as</w:t>
      </w:r>
      <w:r w:rsidR="00391F20" w:rsidRPr="000124EB">
        <w:rPr>
          <w:rFonts w:cs="Arial"/>
          <w:szCs w:val="20"/>
          <w:lang w:val="en-NZ"/>
        </w:rPr>
        <w:t xml:space="preserve"> illness,</w:t>
      </w:r>
      <w:r w:rsidR="00DB7E74" w:rsidRPr="000124EB">
        <w:rPr>
          <w:rFonts w:cs="Arial"/>
          <w:szCs w:val="20"/>
          <w:lang w:val="en-NZ"/>
        </w:rPr>
        <w:t xml:space="preserve"> injury or pregnancy</w:t>
      </w:r>
      <w:r w:rsidR="00C03BFF" w:rsidRPr="000124EB">
        <w:rPr>
          <w:rFonts w:cs="Arial"/>
          <w:szCs w:val="20"/>
          <w:lang w:val="en-NZ"/>
        </w:rPr>
        <w:t xml:space="preserve"> who require assistance to </w:t>
      </w:r>
      <w:r w:rsidR="00D23794" w:rsidRPr="000124EB">
        <w:rPr>
          <w:rFonts w:cs="Arial"/>
          <w:szCs w:val="20"/>
          <w:lang w:val="en-NZ"/>
        </w:rPr>
        <w:t xml:space="preserve">take an </w:t>
      </w:r>
      <w:r w:rsidR="00657718" w:rsidRPr="000124EB">
        <w:rPr>
          <w:rFonts w:cs="Arial"/>
          <w:szCs w:val="20"/>
          <w:lang w:val="en-NZ"/>
        </w:rPr>
        <w:t xml:space="preserve">assessment </w:t>
      </w:r>
      <w:r w:rsidR="006C6A8D" w:rsidRPr="000124EB">
        <w:rPr>
          <w:rFonts w:cs="Arial"/>
          <w:szCs w:val="20"/>
          <w:lang w:val="en-NZ"/>
        </w:rPr>
        <w:t xml:space="preserve">should advise their Tutor or Account Manager </w:t>
      </w:r>
      <w:r w:rsidR="00D23794" w:rsidRPr="000124EB">
        <w:rPr>
          <w:rFonts w:cs="Arial"/>
          <w:szCs w:val="20"/>
          <w:lang w:val="en-NZ"/>
        </w:rPr>
        <w:t xml:space="preserve">in writing </w:t>
      </w:r>
      <w:r w:rsidR="00AA27DD" w:rsidRPr="000124EB">
        <w:rPr>
          <w:rFonts w:cs="Arial"/>
          <w:szCs w:val="20"/>
          <w:lang w:val="en-NZ"/>
        </w:rPr>
        <w:t>for approval</w:t>
      </w:r>
      <w:r w:rsidR="005313A1" w:rsidRPr="000124EB">
        <w:rPr>
          <w:rFonts w:cs="Arial"/>
          <w:szCs w:val="20"/>
          <w:lang w:val="en-NZ"/>
        </w:rPr>
        <w:t xml:space="preserve"> by </w:t>
      </w:r>
      <w:r w:rsidR="00275DCE" w:rsidRPr="000124EB">
        <w:rPr>
          <w:rFonts w:cs="Arial"/>
          <w:szCs w:val="20"/>
          <w:lang w:val="en-NZ"/>
        </w:rPr>
        <w:t>email</w:t>
      </w:r>
      <w:r w:rsidR="00D23794" w:rsidRPr="000124EB">
        <w:rPr>
          <w:rFonts w:cs="Arial"/>
          <w:szCs w:val="20"/>
          <w:lang w:val="en-NZ"/>
        </w:rPr>
        <w:t xml:space="preserve">. </w:t>
      </w:r>
      <w:r w:rsidR="00271B31" w:rsidRPr="000124EB">
        <w:rPr>
          <w:rFonts w:cs="Arial"/>
          <w:szCs w:val="20"/>
          <w:lang w:val="en-NZ"/>
        </w:rPr>
        <w:t xml:space="preserve"> </w:t>
      </w:r>
      <w:r w:rsidR="006A2C2C" w:rsidRPr="000124EB">
        <w:rPr>
          <w:rFonts w:cs="Arial"/>
          <w:szCs w:val="20"/>
          <w:lang w:val="en-NZ"/>
        </w:rPr>
        <w:t xml:space="preserve">Wherever </w:t>
      </w:r>
      <w:r w:rsidR="006C60A7" w:rsidRPr="000124EB">
        <w:rPr>
          <w:rFonts w:cs="Arial"/>
          <w:szCs w:val="20"/>
          <w:lang w:val="en-NZ"/>
        </w:rPr>
        <w:t>possible,</w:t>
      </w:r>
      <w:r w:rsidR="006A2C2C" w:rsidRPr="000124EB">
        <w:rPr>
          <w:rFonts w:cs="Arial"/>
          <w:szCs w:val="20"/>
          <w:lang w:val="en-NZ"/>
        </w:rPr>
        <w:t xml:space="preserve"> a</w:t>
      </w:r>
      <w:r w:rsidR="00D23794" w:rsidRPr="000124EB">
        <w:rPr>
          <w:rFonts w:cs="Arial"/>
          <w:szCs w:val="20"/>
          <w:lang w:val="en-NZ"/>
        </w:rPr>
        <w:t>pplications</w:t>
      </w:r>
      <w:r w:rsidR="006A2C2C" w:rsidRPr="000124EB">
        <w:rPr>
          <w:rFonts w:cs="Arial"/>
          <w:szCs w:val="20"/>
          <w:lang w:val="en-NZ"/>
        </w:rPr>
        <w:t xml:space="preserve"> should be sent three weeks before the date of the </w:t>
      </w:r>
      <w:r w:rsidR="006C6A8D" w:rsidRPr="000124EB">
        <w:rPr>
          <w:rFonts w:cs="Arial"/>
          <w:szCs w:val="20"/>
          <w:lang w:val="en-NZ"/>
        </w:rPr>
        <w:t xml:space="preserve">assessment and </w:t>
      </w:r>
      <w:r w:rsidR="000124EB">
        <w:rPr>
          <w:rFonts w:cs="Arial"/>
          <w:szCs w:val="20"/>
          <w:lang w:val="en-NZ"/>
        </w:rPr>
        <w:t>s</w:t>
      </w:r>
      <w:r w:rsidR="00D23794" w:rsidRPr="000124EB">
        <w:rPr>
          <w:rFonts w:cs="Arial"/>
          <w:lang w:val="en-NZ"/>
        </w:rPr>
        <w:t>tate the reason why assistance is required</w:t>
      </w:r>
      <w:r w:rsidR="000124EB">
        <w:rPr>
          <w:rFonts w:cs="Arial"/>
          <w:lang w:val="en-NZ"/>
        </w:rPr>
        <w:t xml:space="preserve">. </w:t>
      </w:r>
    </w:p>
    <w:p w14:paraId="42E7AFF5" w14:textId="4D4F1EF8" w:rsidR="00DB7C37" w:rsidRDefault="00893B2F" w:rsidP="00DB7E74">
      <w:pPr>
        <w:pStyle w:val="BlockNumber"/>
        <w:ind w:left="1587" w:hanging="873"/>
        <w:rPr>
          <w:rFonts w:cs="Arial"/>
          <w:szCs w:val="20"/>
          <w:lang w:val="en-NZ"/>
        </w:rPr>
      </w:pPr>
      <w:r>
        <w:rPr>
          <w:rFonts w:cs="Arial"/>
          <w:szCs w:val="20"/>
          <w:lang w:val="en-NZ"/>
        </w:rPr>
        <w:t>ATNZ</w:t>
      </w:r>
      <w:r w:rsidR="002605E7">
        <w:rPr>
          <w:rFonts w:cs="Arial"/>
          <w:szCs w:val="20"/>
          <w:lang w:val="en-NZ"/>
        </w:rPr>
        <w:t xml:space="preserve"> </w:t>
      </w:r>
      <w:r>
        <w:rPr>
          <w:rFonts w:cs="Arial"/>
          <w:szCs w:val="20"/>
          <w:lang w:val="en-NZ"/>
        </w:rPr>
        <w:t>learner</w:t>
      </w:r>
      <w:r w:rsidR="002605E7">
        <w:rPr>
          <w:rFonts w:cs="Arial"/>
          <w:szCs w:val="20"/>
          <w:lang w:val="en-NZ"/>
        </w:rPr>
        <w:t xml:space="preserve">s with an impairment relating to reading and writing may make the application to the </w:t>
      </w:r>
      <w:r w:rsidR="00275DCE">
        <w:rPr>
          <w:rFonts w:cs="Arial"/>
          <w:szCs w:val="20"/>
          <w:lang w:val="en-NZ"/>
        </w:rPr>
        <w:t>Academic Manager</w:t>
      </w:r>
      <w:r w:rsidR="000124EB">
        <w:rPr>
          <w:rFonts w:cs="Arial"/>
          <w:szCs w:val="20"/>
          <w:lang w:val="en-NZ"/>
        </w:rPr>
        <w:t xml:space="preserve">, </w:t>
      </w:r>
      <w:r w:rsidR="00275DCE">
        <w:rPr>
          <w:rFonts w:cs="Arial"/>
          <w:szCs w:val="20"/>
          <w:lang w:val="en-NZ"/>
        </w:rPr>
        <w:t xml:space="preserve">Account Manager </w:t>
      </w:r>
      <w:r w:rsidR="000124EB">
        <w:rPr>
          <w:rFonts w:cs="Arial"/>
          <w:szCs w:val="20"/>
          <w:lang w:val="en-NZ"/>
        </w:rPr>
        <w:t xml:space="preserve">or Tutor </w:t>
      </w:r>
      <w:r w:rsidR="002605E7">
        <w:rPr>
          <w:rFonts w:cs="Arial"/>
          <w:szCs w:val="20"/>
          <w:lang w:val="en-NZ"/>
        </w:rPr>
        <w:t xml:space="preserve">verbally. In such cases, the </w:t>
      </w:r>
      <w:r w:rsidR="00275DCE">
        <w:rPr>
          <w:rFonts w:cs="Arial"/>
          <w:szCs w:val="20"/>
          <w:lang w:val="en-NZ"/>
        </w:rPr>
        <w:t>Academic</w:t>
      </w:r>
      <w:r w:rsidR="000124EB">
        <w:rPr>
          <w:rFonts w:cs="Arial"/>
          <w:szCs w:val="20"/>
          <w:lang w:val="en-NZ"/>
        </w:rPr>
        <w:t xml:space="preserve">, </w:t>
      </w:r>
      <w:r w:rsidR="00275DCE">
        <w:rPr>
          <w:rFonts w:cs="Arial"/>
          <w:szCs w:val="20"/>
          <w:lang w:val="en-NZ"/>
        </w:rPr>
        <w:t xml:space="preserve">Account </w:t>
      </w:r>
      <w:r w:rsidR="002605E7">
        <w:rPr>
          <w:rFonts w:cs="Arial"/>
          <w:szCs w:val="20"/>
          <w:lang w:val="en-NZ"/>
        </w:rPr>
        <w:t xml:space="preserve">Manager </w:t>
      </w:r>
      <w:r w:rsidR="000124EB">
        <w:rPr>
          <w:rFonts w:cs="Arial"/>
          <w:szCs w:val="20"/>
          <w:lang w:val="en-NZ"/>
        </w:rPr>
        <w:t xml:space="preserve">or Tutor </w:t>
      </w:r>
      <w:r w:rsidR="002605E7">
        <w:rPr>
          <w:rFonts w:cs="Arial"/>
          <w:szCs w:val="20"/>
          <w:lang w:val="en-NZ"/>
        </w:rPr>
        <w:t>will ensure that a written record of the application is created.</w:t>
      </w:r>
    </w:p>
    <w:p w14:paraId="4D56171B" w14:textId="3FB05262" w:rsidR="00DB7E74" w:rsidRPr="0003653F" w:rsidRDefault="00DB7E74" w:rsidP="00DB7E74">
      <w:pPr>
        <w:pStyle w:val="BlockNumber"/>
        <w:ind w:left="1587" w:hanging="873"/>
        <w:rPr>
          <w:rFonts w:cs="Arial"/>
          <w:szCs w:val="20"/>
          <w:lang w:val="en-NZ"/>
        </w:rPr>
      </w:pPr>
      <w:r w:rsidRPr="0003653F">
        <w:rPr>
          <w:rFonts w:cs="Arial"/>
          <w:szCs w:val="20"/>
          <w:lang w:val="en-NZ"/>
        </w:rPr>
        <w:t xml:space="preserve">To be eligible for special assistance, </w:t>
      </w:r>
      <w:r w:rsidR="00893B2F">
        <w:rPr>
          <w:rFonts w:cs="Arial"/>
          <w:szCs w:val="20"/>
          <w:lang w:val="en-NZ"/>
        </w:rPr>
        <w:t>learner</w:t>
      </w:r>
      <w:r w:rsidRPr="0003653F">
        <w:rPr>
          <w:rFonts w:cs="Arial"/>
          <w:szCs w:val="20"/>
          <w:lang w:val="en-NZ"/>
        </w:rPr>
        <w:t xml:space="preserve">s must provide </w:t>
      </w:r>
      <w:r w:rsidR="009034A2" w:rsidRPr="0003653F">
        <w:rPr>
          <w:rFonts w:cs="Arial"/>
          <w:szCs w:val="20"/>
          <w:lang w:val="en-NZ"/>
        </w:rPr>
        <w:t>appropriate</w:t>
      </w:r>
      <w:r w:rsidRPr="0003653F">
        <w:rPr>
          <w:rFonts w:cs="Arial"/>
          <w:szCs w:val="20"/>
          <w:lang w:val="en-NZ"/>
        </w:rPr>
        <w:t xml:space="preserve"> </w:t>
      </w:r>
      <w:r w:rsidR="0073003E" w:rsidRPr="0003653F">
        <w:rPr>
          <w:rFonts w:cs="Arial"/>
          <w:szCs w:val="20"/>
          <w:lang w:val="en-NZ"/>
        </w:rPr>
        <w:t>evidence</w:t>
      </w:r>
      <w:r w:rsidRPr="0003653F">
        <w:rPr>
          <w:rFonts w:cs="Arial"/>
          <w:szCs w:val="20"/>
          <w:lang w:val="en-NZ"/>
        </w:rPr>
        <w:t xml:space="preserve"> of their </w:t>
      </w:r>
      <w:r w:rsidR="0073003E" w:rsidRPr="0003653F">
        <w:rPr>
          <w:rFonts w:cs="Arial"/>
          <w:szCs w:val="20"/>
          <w:lang w:val="en-NZ"/>
        </w:rPr>
        <w:t>impairment or other condition</w:t>
      </w:r>
      <w:r w:rsidRPr="0003653F">
        <w:rPr>
          <w:rFonts w:cs="Arial"/>
          <w:szCs w:val="20"/>
          <w:lang w:val="en-NZ"/>
        </w:rPr>
        <w:t xml:space="preserve">.  Examination and test assistance may not be </w:t>
      </w:r>
      <w:r w:rsidR="00DF3313" w:rsidRPr="0003653F">
        <w:rPr>
          <w:rFonts w:cs="Arial"/>
          <w:szCs w:val="20"/>
          <w:lang w:val="en-NZ"/>
        </w:rPr>
        <w:t>available</w:t>
      </w:r>
      <w:r w:rsidRPr="0003653F">
        <w:rPr>
          <w:rFonts w:cs="Arial"/>
          <w:szCs w:val="20"/>
          <w:lang w:val="en-NZ"/>
        </w:rPr>
        <w:t xml:space="preserve"> for all courses</w:t>
      </w:r>
      <w:r w:rsidR="000124EB">
        <w:rPr>
          <w:rFonts w:cs="Arial"/>
          <w:szCs w:val="20"/>
          <w:lang w:val="en-NZ"/>
        </w:rPr>
        <w:t xml:space="preserve"> or </w:t>
      </w:r>
      <w:r w:rsidR="006F4C17">
        <w:rPr>
          <w:rFonts w:cs="Arial"/>
          <w:szCs w:val="20"/>
          <w:lang w:val="en-NZ"/>
        </w:rPr>
        <w:t>NZQF</w:t>
      </w:r>
      <w:r w:rsidR="000124EB">
        <w:rPr>
          <w:rFonts w:cs="Arial"/>
          <w:szCs w:val="20"/>
          <w:lang w:val="en-NZ"/>
        </w:rPr>
        <w:t xml:space="preserve"> Standards</w:t>
      </w:r>
      <w:r w:rsidRPr="0003653F">
        <w:rPr>
          <w:rFonts w:cs="Arial"/>
          <w:szCs w:val="20"/>
          <w:lang w:val="en-NZ"/>
        </w:rPr>
        <w:t>.</w:t>
      </w:r>
    </w:p>
    <w:p w14:paraId="7AC13D1F" w14:textId="746C1FE1" w:rsidR="00D23794" w:rsidRPr="0003653F" w:rsidRDefault="000124EB" w:rsidP="00766BF9">
      <w:pPr>
        <w:pStyle w:val="BlockNumber"/>
        <w:ind w:left="1587" w:hanging="873"/>
        <w:rPr>
          <w:rFonts w:cs="Arial"/>
          <w:szCs w:val="20"/>
          <w:lang w:val="en-NZ"/>
        </w:rPr>
      </w:pPr>
      <w:r>
        <w:rPr>
          <w:rFonts w:cs="Arial"/>
          <w:szCs w:val="20"/>
          <w:lang w:val="en-NZ"/>
        </w:rPr>
        <w:t xml:space="preserve">Assessment </w:t>
      </w:r>
      <w:r w:rsidR="00D23794" w:rsidRPr="0003653F">
        <w:rPr>
          <w:rFonts w:cs="Arial"/>
          <w:szCs w:val="20"/>
          <w:lang w:val="en-NZ"/>
        </w:rPr>
        <w:t>assistance may be provided in the following ways:</w:t>
      </w:r>
    </w:p>
    <w:p w14:paraId="6252D80E" w14:textId="77777777" w:rsidR="00D23794" w:rsidRPr="0003653F" w:rsidRDefault="00D23794" w:rsidP="00135CF0">
      <w:pPr>
        <w:pStyle w:val="Bullet1"/>
        <w:tabs>
          <w:tab w:val="clear" w:pos="1494"/>
        </w:tabs>
        <w:ind w:left="2127" w:hanging="426"/>
        <w:rPr>
          <w:rFonts w:cs="Arial"/>
          <w:lang w:val="en-NZ"/>
        </w:rPr>
      </w:pPr>
      <w:r w:rsidRPr="0003653F">
        <w:rPr>
          <w:rFonts w:cs="Arial"/>
          <w:lang w:val="en-NZ"/>
        </w:rPr>
        <w:t xml:space="preserve">Additional time. This would normally not exceed </w:t>
      </w:r>
      <w:r w:rsidR="0070414B" w:rsidRPr="0003653F">
        <w:rPr>
          <w:rFonts w:cs="Arial"/>
          <w:lang w:val="en-NZ"/>
        </w:rPr>
        <w:t xml:space="preserve">20 </w:t>
      </w:r>
      <w:r w:rsidRPr="0003653F">
        <w:rPr>
          <w:rFonts w:cs="Arial"/>
          <w:lang w:val="en-NZ"/>
        </w:rPr>
        <w:t>minutes for each hour of the examination</w:t>
      </w:r>
      <w:r w:rsidR="006C60A7" w:rsidRPr="0003653F">
        <w:rPr>
          <w:rFonts w:cs="Arial"/>
          <w:lang w:val="en-NZ"/>
        </w:rPr>
        <w:t xml:space="preserve"> or </w:t>
      </w:r>
      <w:proofErr w:type="gramStart"/>
      <w:r w:rsidRPr="0003653F">
        <w:rPr>
          <w:rFonts w:cs="Arial"/>
          <w:lang w:val="en-NZ"/>
        </w:rPr>
        <w:t>test;</w:t>
      </w:r>
      <w:proofErr w:type="gramEnd"/>
    </w:p>
    <w:p w14:paraId="1F376C6D" w14:textId="77777777" w:rsidR="00D23794" w:rsidRDefault="00D23794" w:rsidP="00135CF0">
      <w:pPr>
        <w:pStyle w:val="Bullet1"/>
        <w:tabs>
          <w:tab w:val="clear" w:pos="1494"/>
        </w:tabs>
        <w:ind w:left="2127" w:hanging="426"/>
        <w:rPr>
          <w:rFonts w:cs="Arial"/>
          <w:lang w:val="en-NZ"/>
        </w:rPr>
      </w:pPr>
      <w:r w:rsidRPr="0003653F">
        <w:rPr>
          <w:rFonts w:cs="Arial"/>
          <w:lang w:val="en-NZ"/>
        </w:rPr>
        <w:t xml:space="preserve">Assistance by a </w:t>
      </w:r>
      <w:proofErr w:type="gramStart"/>
      <w:r w:rsidRPr="0003653F">
        <w:rPr>
          <w:rFonts w:cs="Arial"/>
          <w:lang w:val="en-NZ"/>
        </w:rPr>
        <w:t>reader;</w:t>
      </w:r>
      <w:proofErr w:type="gramEnd"/>
      <w:r w:rsidRPr="0003653F">
        <w:rPr>
          <w:rFonts w:cs="Arial"/>
          <w:lang w:val="en-NZ"/>
        </w:rPr>
        <w:t xml:space="preserve"> </w:t>
      </w:r>
    </w:p>
    <w:p w14:paraId="2C47552F" w14:textId="678886E3" w:rsidR="00A45769" w:rsidRDefault="00A45769" w:rsidP="00135CF0">
      <w:pPr>
        <w:pStyle w:val="Bullet1"/>
        <w:tabs>
          <w:tab w:val="clear" w:pos="1494"/>
        </w:tabs>
        <w:ind w:left="2127" w:hanging="426"/>
        <w:rPr>
          <w:rFonts w:cs="Arial"/>
          <w:lang w:val="en-NZ"/>
        </w:rPr>
      </w:pPr>
      <w:r>
        <w:rPr>
          <w:rFonts w:cs="Arial"/>
          <w:lang w:val="en-NZ"/>
        </w:rPr>
        <w:t xml:space="preserve">Where available, provision of access to a computer with voice recognition software to enable written questions to be spoken and/or for </w:t>
      </w:r>
      <w:r w:rsidR="00893B2F">
        <w:rPr>
          <w:rFonts w:cs="Arial"/>
          <w:lang w:val="en-NZ"/>
        </w:rPr>
        <w:t>learner</w:t>
      </w:r>
      <w:r>
        <w:rPr>
          <w:rFonts w:cs="Arial"/>
          <w:lang w:val="en-NZ"/>
        </w:rPr>
        <w:t xml:space="preserve"> responses to be converted to text.</w:t>
      </w:r>
    </w:p>
    <w:p w14:paraId="479BBFC5" w14:textId="77777777" w:rsidR="00297C9E" w:rsidRPr="0003653F" w:rsidRDefault="00297C9E" w:rsidP="00135CF0">
      <w:pPr>
        <w:pStyle w:val="Bullet1"/>
        <w:tabs>
          <w:tab w:val="clear" w:pos="1494"/>
        </w:tabs>
        <w:ind w:left="2127" w:hanging="426"/>
        <w:rPr>
          <w:rFonts w:cs="Arial"/>
          <w:lang w:val="en-NZ"/>
        </w:rPr>
      </w:pPr>
      <w:r>
        <w:rPr>
          <w:rFonts w:cs="Arial"/>
          <w:lang w:val="en-NZ"/>
        </w:rPr>
        <w:t>Provision of an alternative oral assessment</w:t>
      </w:r>
    </w:p>
    <w:p w14:paraId="3D18BE49" w14:textId="77777777" w:rsidR="00D23794" w:rsidRPr="0003653F" w:rsidRDefault="00D23794" w:rsidP="00135CF0">
      <w:pPr>
        <w:pStyle w:val="Bullet1"/>
        <w:tabs>
          <w:tab w:val="clear" w:pos="1494"/>
        </w:tabs>
        <w:ind w:left="2127" w:hanging="426"/>
        <w:rPr>
          <w:rFonts w:cs="Arial"/>
          <w:lang w:val="en-NZ"/>
        </w:rPr>
      </w:pPr>
      <w:r w:rsidRPr="0003653F">
        <w:rPr>
          <w:rFonts w:cs="Arial"/>
          <w:lang w:val="en-NZ"/>
        </w:rPr>
        <w:t xml:space="preserve">Assistance by a </w:t>
      </w:r>
      <w:proofErr w:type="gramStart"/>
      <w:r w:rsidRPr="0003653F">
        <w:rPr>
          <w:rFonts w:cs="Arial"/>
          <w:lang w:val="en-NZ"/>
        </w:rPr>
        <w:t>writer;</w:t>
      </w:r>
      <w:proofErr w:type="gramEnd"/>
      <w:r w:rsidRPr="0003653F">
        <w:rPr>
          <w:rFonts w:cs="Arial"/>
          <w:lang w:val="en-NZ"/>
        </w:rPr>
        <w:t xml:space="preserve"> </w:t>
      </w:r>
    </w:p>
    <w:p w14:paraId="7948C890" w14:textId="77777777" w:rsidR="00D23794" w:rsidRPr="0003653F" w:rsidRDefault="00D23794" w:rsidP="00135CF0">
      <w:pPr>
        <w:pStyle w:val="Bullet1"/>
        <w:tabs>
          <w:tab w:val="clear" w:pos="1494"/>
        </w:tabs>
        <w:ind w:left="2127" w:hanging="426"/>
        <w:rPr>
          <w:rFonts w:cs="Arial"/>
          <w:lang w:val="en-NZ"/>
        </w:rPr>
      </w:pPr>
      <w:r w:rsidRPr="0003653F">
        <w:rPr>
          <w:rFonts w:cs="Arial"/>
          <w:lang w:val="en-NZ"/>
        </w:rPr>
        <w:t>Assistance by a reader/</w:t>
      </w:r>
      <w:proofErr w:type="gramStart"/>
      <w:r w:rsidRPr="0003653F">
        <w:rPr>
          <w:rFonts w:cs="Arial"/>
          <w:lang w:val="en-NZ"/>
        </w:rPr>
        <w:t>writer;</w:t>
      </w:r>
      <w:proofErr w:type="gramEnd"/>
      <w:r w:rsidRPr="0003653F">
        <w:rPr>
          <w:rFonts w:cs="Arial"/>
          <w:lang w:val="en-NZ"/>
        </w:rPr>
        <w:t xml:space="preserve"> </w:t>
      </w:r>
    </w:p>
    <w:p w14:paraId="7843388A" w14:textId="77777777" w:rsidR="00D23794" w:rsidRPr="0003653F" w:rsidRDefault="00D23794" w:rsidP="00135CF0">
      <w:pPr>
        <w:pStyle w:val="Bullet1"/>
        <w:tabs>
          <w:tab w:val="clear" w:pos="1494"/>
        </w:tabs>
        <w:ind w:left="2127" w:hanging="426"/>
        <w:rPr>
          <w:rFonts w:cs="Arial"/>
          <w:lang w:val="en-NZ"/>
        </w:rPr>
      </w:pPr>
      <w:r w:rsidRPr="0003653F">
        <w:rPr>
          <w:rFonts w:cs="Arial"/>
          <w:lang w:val="en-NZ"/>
        </w:rPr>
        <w:t xml:space="preserve">Assistance by </w:t>
      </w:r>
      <w:r w:rsidR="00271B31" w:rsidRPr="0003653F">
        <w:rPr>
          <w:rFonts w:cs="Arial"/>
          <w:lang w:val="en-NZ"/>
        </w:rPr>
        <w:t xml:space="preserve">a </w:t>
      </w:r>
      <w:r w:rsidR="00DB610B" w:rsidRPr="0003653F">
        <w:rPr>
          <w:rFonts w:cs="Arial"/>
          <w:lang w:val="en-NZ"/>
        </w:rPr>
        <w:t>N</w:t>
      </w:r>
      <w:r w:rsidR="0070414B" w:rsidRPr="0003653F">
        <w:rPr>
          <w:rFonts w:cs="Arial"/>
          <w:lang w:val="en-NZ"/>
        </w:rPr>
        <w:t xml:space="preserve">ew </w:t>
      </w:r>
      <w:r w:rsidR="00DB610B" w:rsidRPr="0003653F">
        <w:rPr>
          <w:rFonts w:cs="Arial"/>
          <w:lang w:val="en-NZ"/>
        </w:rPr>
        <w:t>Z</w:t>
      </w:r>
      <w:r w:rsidR="0070414B" w:rsidRPr="0003653F">
        <w:rPr>
          <w:rFonts w:cs="Arial"/>
          <w:lang w:val="en-NZ"/>
        </w:rPr>
        <w:t>ealand</w:t>
      </w:r>
      <w:r w:rsidR="00DB610B" w:rsidRPr="0003653F">
        <w:rPr>
          <w:rFonts w:cs="Arial"/>
          <w:lang w:val="en-NZ"/>
        </w:rPr>
        <w:t xml:space="preserve"> sign language </w:t>
      </w:r>
      <w:r w:rsidRPr="0003653F">
        <w:rPr>
          <w:rFonts w:cs="Arial"/>
          <w:lang w:val="en-NZ"/>
        </w:rPr>
        <w:t xml:space="preserve">interpreter; </w:t>
      </w:r>
      <w:r w:rsidR="00115979" w:rsidRPr="0003653F">
        <w:rPr>
          <w:rFonts w:cs="Arial"/>
          <w:lang w:val="en-NZ"/>
        </w:rPr>
        <w:t>or</w:t>
      </w:r>
    </w:p>
    <w:p w14:paraId="45DD0CA1" w14:textId="77777777" w:rsidR="00D23794" w:rsidRPr="0003653F" w:rsidRDefault="00D23794" w:rsidP="00135CF0">
      <w:pPr>
        <w:pStyle w:val="Bullet1"/>
        <w:tabs>
          <w:tab w:val="clear" w:pos="1494"/>
        </w:tabs>
        <w:ind w:left="2127" w:hanging="426"/>
        <w:rPr>
          <w:rFonts w:cs="Arial"/>
          <w:lang w:val="en-NZ"/>
        </w:rPr>
      </w:pPr>
      <w:r w:rsidRPr="0003653F">
        <w:rPr>
          <w:rFonts w:cs="Arial"/>
          <w:lang w:val="en-NZ"/>
        </w:rPr>
        <w:t>A combination of the above.</w:t>
      </w:r>
    </w:p>
    <w:p w14:paraId="4C3A5820" w14:textId="61C296D9" w:rsidR="002605E7" w:rsidRDefault="002605E7" w:rsidP="00A45769">
      <w:pPr>
        <w:pStyle w:val="BlockNumber"/>
        <w:ind w:left="1587" w:hanging="873"/>
        <w:rPr>
          <w:rFonts w:cs="Arial"/>
          <w:szCs w:val="20"/>
          <w:lang w:val="en-NZ"/>
        </w:rPr>
      </w:pPr>
      <w:r>
        <w:rPr>
          <w:rFonts w:cs="Arial"/>
          <w:szCs w:val="20"/>
          <w:lang w:val="en-NZ"/>
        </w:rPr>
        <w:t xml:space="preserve">The </w:t>
      </w:r>
      <w:r w:rsidR="00275DCE">
        <w:rPr>
          <w:rFonts w:cs="Arial"/>
          <w:szCs w:val="20"/>
          <w:lang w:val="en-NZ"/>
        </w:rPr>
        <w:t xml:space="preserve">Academic </w:t>
      </w:r>
      <w:r>
        <w:rPr>
          <w:rFonts w:cs="Arial"/>
          <w:szCs w:val="20"/>
          <w:lang w:val="en-NZ"/>
        </w:rPr>
        <w:t>Manager or their specified delegate will determine the nature of assistance that will be provided.</w:t>
      </w:r>
    </w:p>
    <w:p w14:paraId="7553A315" w14:textId="6202C7F9" w:rsidR="00A45769" w:rsidRPr="00A45769" w:rsidRDefault="00013205" w:rsidP="00A45769">
      <w:pPr>
        <w:pStyle w:val="BlockNumber"/>
        <w:ind w:left="1587" w:hanging="873"/>
        <w:rPr>
          <w:rFonts w:cs="Arial"/>
          <w:szCs w:val="20"/>
          <w:lang w:val="en-NZ"/>
        </w:rPr>
      </w:pPr>
      <w:r>
        <w:rPr>
          <w:rFonts w:cs="Arial"/>
          <w:szCs w:val="20"/>
          <w:lang w:val="en-NZ"/>
        </w:rPr>
        <w:t xml:space="preserve">At </w:t>
      </w:r>
      <w:r w:rsidR="00893B2F">
        <w:rPr>
          <w:rFonts w:cs="Arial"/>
          <w:szCs w:val="20"/>
          <w:lang w:val="en-NZ"/>
        </w:rPr>
        <w:t>ATNZ</w:t>
      </w:r>
      <w:r>
        <w:rPr>
          <w:rFonts w:cs="Arial"/>
          <w:szCs w:val="20"/>
          <w:lang w:val="en-NZ"/>
        </w:rPr>
        <w:t xml:space="preserve">’s discretion, assessments may be conducted orally rather than through provision of reader or writer assistance where this would not comprise the integrity of the assessment being conducted and not </w:t>
      </w:r>
      <w:proofErr w:type="gramStart"/>
      <w:r>
        <w:rPr>
          <w:rFonts w:cs="Arial"/>
          <w:szCs w:val="20"/>
          <w:lang w:val="en-NZ"/>
        </w:rPr>
        <w:t>be in conflict with</w:t>
      </w:r>
      <w:proofErr w:type="gramEnd"/>
      <w:r>
        <w:rPr>
          <w:rFonts w:cs="Arial"/>
          <w:szCs w:val="20"/>
          <w:lang w:val="en-NZ"/>
        </w:rPr>
        <w:t xml:space="preserve"> any specific Programme Regulations. The decision to utilise oral assessment in this case will be made by the </w:t>
      </w:r>
      <w:r w:rsidR="00275DCE">
        <w:rPr>
          <w:rFonts w:cs="Arial"/>
          <w:szCs w:val="20"/>
          <w:lang w:val="en-NZ"/>
        </w:rPr>
        <w:t xml:space="preserve">Academic </w:t>
      </w:r>
      <w:r>
        <w:rPr>
          <w:rFonts w:cs="Arial"/>
          <w:szCs w:val="20"/>
          <w:lang w:val="en-NZ"/>
        </w:rPr>
        <w:t>Manager or the</w:t>
      </w:r>
      <w:r w:rsidR="0012793B">
        <w:rPr>
          <w:rFonts w:cs="Arial"/>
          <w:szCs w:val="20"/>
          <w:lang w:val="en-NZ"/>
        </w:rPr>
        <w:t xml:space="preserve"> Assessor</w:t>
      </w:r>
      <w:r>
        <w:rPr>
          <w:rFonts w:cs="Arial"/>
          <w:szCs w:val="20"/>
          <w:lang w:val="en-NZ"/>
        </w:rPr>
        <w:t xml:space="preserve">. </w:t>
      </w:r>
    </w:p>
    <w:p w14:paraId="24A44634" w14:textId="77777777" w:rsidR="00736967" w:rsidRPr="00032FAF" w:rsidRDefault="000A3012" w:rsidP="009F6DFE">
      <w:pPr>
        <w:pStyle w:val="Heading2No"/>
        <w:rPr>
          <w:rFonts w:cs="Arial"/>
          <w:szCs w:val="20"/>
          <w:lang w:val="en-NZ"/>
        </w:rPr>
      </w:pPr>
      <w:r w:rsidRPr="00032FAF">
        <w:rPr>
          <w:rFonts w:cs="Arial"/>
          <w:szCs w:val="20"/>
          <w:lang w:val="en-NZ"/>
        </w:rPr>
        <w:t xml:space="preserve">Notification of </w:t>
      </w:r>
      <w:r w:rsidR="00E16BCA" w:rsidRPr="00032FAF">
        <w:rPr>
          <w:rFonts w:cs="Arial"/>
          <w:szCs w:val="20"/>
          <w:lang w:val="en-NZ"/>
        </w:rPr>
        <w:t xml:space="preserve">summative </w:t>
      </w:r>
      <w:r w:rsidRPr="00032FAF">
        <w:rPr>
          <w:rFonts w:cs="Arial"/>
          <w:szCs w:val="20"/>
          <w:lang w:val="en-NZ"/>
        </w:rPr>
        <w:t>a</w:t>
      </w:r>
      <w:r w:rsidR="00420B36" w:rsidRPr="00032FAF">
        <w:rPr>
          <w:rFonts w:cs="Arial"/>
          <w:szCs w:val="20"/>
          <w:lang w:val="en-NZ"/>
        </w:rPr>
        <w:t>ssessment outcomes</w:t>
      </w:r>
    </w:p>
    <w:p w14:paraId="4D26102E" w14:textId="0359EE29" w:rsidR="00660169" w:rsidRPr="00482BF9" w:rsidRDefault="00E16BCA" w:rsidP="00252620">
      <w:pPr>
        <w:pStyle w:val="BlockNumber"/>
        <w:ind w:left="1587" w:hanging="873"/>
        <w:rPr>
          <w:rFonts w:cs="Arial"/>
          <w:szCs w:val="20"/>
        </w:rPr>
      </w:pPr>
      <w:r w:rsidRPr="0003653F">
        <w:rPr>
          <w:rFonts w:cs="Arial"/>
          <w:szCs w:val="20"/>
          <w:lang w:val="en-NZ"/>
        </w:rPr>
        <w:lastRenderedPageBreak/>
        <w:t>Summative a</w:t>
      </w:r>
      <w:r w:rsidR="000E6E11" w:rsidRPr="0003653F">
        <w:rPr>
          <w:rFonts w:cs="Arial"/>
          <w:szCs w:val="20"/>
          <w:lang w:val="en-NZ"/>
        </w:rPr>
        <w:t xml:space="preserve">ssessments </w:t>
      </w:r>
      <w:r w:rsidR="00482BF9">
        <w:rPr>
          <w:rFonts w:cs="Arial"/>
          <w:szCs w:val="20"/>
          <w:lang w:val="en-NZ"/>
        </w:rPr>
        <w:t xml:space="preserve">in written form </w:t>
      </w:r>
      <w:r w:rsidR="000E6E11" w:rsidRPr="0003653F">
        <w:rPr>
          <w:rFonts w:cs="Arial"/>
          <w:szCs w:val="20"/>
          <w:lang w:val="en-NZ"/>
        </w:rPr>
        <w:t xml:space="preserve">shall be marked and </w:t>
      </w:r>
      <w:r w:rsidR="00893B2F">
        <w:rPr>
          <w:rFonts w:cs="Arial"/>
          <w:szCs w:val="20"/>
          <w:lang w:val="en-NZ"/>
        </w:rPr>
        <w:t>learner</w:t>
      </w:r>
      <w:r w:rsidR="000E6E11" w:rsidRPr="0003653F">
        <w:rPr>
          <w:rFonts w:cs="Arial"/>
          <w:szCs w:val="20"/>
          <w:lang w:val="en-NZ"/>
        </w:rPr>
        <w:t>s notified of outcomes as quickly as possible.  Unless otherwise notified, this will be within ten working days of the assessment taking place or being due.</w:t>
      </w:r>
    </w:p>
    <w:p w14:paraId="4847A601" w14:textId="56B9D425" w:rsidR="00482BF9" w:rsidRPr="0003653F" w:rsidRDefault="00482BF9" w:rsidP="00252620">
      <w:pPr>
        <w:pStyle w:val="BlockNumber"/>
        <w:ind w:left="1587" w:hanging="873"/>
        <w:rPr>
          <w:rFonts w:cs="Arial"/>
          <w:szCs w:val="20"/>
        </w:rPr>
      </w:pPr>
      <w:r>
        <w:rPr>
          <w:rFonts w:cs="Arial"/>
          <w:szCs w:val="20"/>
        </w:rPr>
        <w:t xml:space="preserve">The outcome of summative assessments in oral form or observation shall be communicated to the </w:t>
      </w:r>
      <w:r w:rsidR="00893B2F">
        <w:rPr>
          <w:rFonts w:cs="Arial"/>
          <w:szCs w:val="20"/>
        </w:rPr>
        <w:t>learner</w:t>
      </w:r>
      <w:r>
        <w:rPr>
          <w:rFonts w:cs="Arial"/>
          <w:szCs w:val="20"/>
        </w:rPr>
        <w:t xml:space="preserve"> at the time of the assessment or as soon thereafter as practical in cases where a peer review is sought by the assessor. </w:t>
      </w:r>
    </w:p>
    <w:p w14:paraId="7C51D6B5" w14:textId="11B80B3B" w:rsidR="00657718" w:rsidRDefault="00D72A1B" w:rsidP="00657718">
      <w:pPr>
        <w:pStyle w:val="Heading2No"/>
        <w:spacing w:before="320" w:after="0"/>
        <w:rPr>
          <w:rFonts w:cs="Arial"/>
          <w:szCs w:val="20"/>
          <w:lang w:val="en-NZ"/>
        </w:rPr>
      </w:pPr>
      <w:r w:rsidRPr="00032FAF">
        <w:rPr>
          <w:rFonts w:cs="Arial"/>
          <w:szCs w:val="20"/>
          <w:lang w:val="en-NZ"/>
        </w:rPr>
        <w:t>Aegrotat pass</w:t>
      </w:r>
      <w:r w:rsidR="00BD55C5" w:rsidRPr="00032FAF">
        <w:rPr>
          <w:rFonts w:cs="Arial"/>
          <w:szCs w:val="20"/>
          <w:lang w:val="en-NZ"/>
        </w:rPr>
        <w:t xml:space="preserve"> (AP)</w:t>
      </w:r>
      <w:r w:rsidR="00657718">
        <w:rPr>
          <w:rFonts w:cs="Arial"/>
          <w:szCs w:val="20"/>
          <w:lang w:val="en-NZ"/>
        </w:rPr>
        <w:t xml:space="preserve"> </w:t>
      </w:r>
    </w:p>
    <w:p w14:paraId="7323A6A3" w14:textId="4118D36D" w:rsidR="00736967" w:rsidRPr="00657718" w:rsidRDefault="003C799F" w:rsidP="00657718">
      <w:pPr>
        <w:pStyle w:val="Heading2No"/>
        <w:numPr>
          <w:ilvl w:val="0"/>
          <w:numId w:val="0"/>
        </w:numPr>
        <w:spacing w:before="0"/>
        <w:ind w:left="1134" w:firstLine="210"/>
        <w:rPr>
          <w:rFonts w:cs="Arial"/>
          <w:b w:val="0"/>
          <w:bCs/>
          <w:szCs w:val="20"/>
          <w:lang w:val="en-NZ"/>
        </w:rPr>
      </w:pPr>
      <w:r w:rsidRPr="00657718">
        <w:rPr>
          <w:rFonts w:cs="Arial"/>
          <w:b w:val="0"/>
          <w:bCs/>
          <w:szCs w:val="20"/>
          <w:lang w:val="en-NZ"/>
        </w:rPr>
        <w:t xml:space="preserve"> </w:t>
      </w:r>
      <w:r w:rsidR="00657718" w:rsidRPr="00657718">
        <w:rPr>
          <w:rFonts w:cs="Arial"/>
          <w:b w:val="0"/>
          <w:bCs/>
          <w:szCs w:val="20"/>
          <w:lang w:val="en-NZ"/>
        </w:rPr>
        <w:t xml:space="preserve">(Note that this section is not applicable </w:t>
      </w:r>
      <w:r w:rsidR="00D10A98">
        <w:rPr>
          <w:rFonts w:cs="Arial"/>
          <w:b w:val="0"/>
          <w:bCs/>
          <w:szCs w:val="20"/>
          <w:lang w:val="en-NZ"/>
        </w:rPr>
        <w:t xml:space="preserve">to </w:t>
      </w:r>
      <w:r w:rsidR="00657718" w:rsidRPr="00657718">
        <w:rPr>
          <w:rFonts w:cs="Arial"/>
          <w:b w:val="0"/>
          <w:bCs/>
          <w:szCs w:val="20"/>
          <w:lang w:val="en-NZ"/>
        </w:rPr>
        <w:t>Apprenticeship programmes)</w:t>
      </w:r>
    </w:p>
    <w:p w14:paraId="3CF6DC11" w14:textId="6D86F1E0" w:rsidR="00E975E8" w:rsidRDefault="00E975E8" w:rsidP="00E975E8">
      <w:pPr>
        <w:pStyle w:val="BlockNumber"/>
        <w:ind w:left="1587" w:hanging="873"/>
        <w:rPr>
          <w:rFonts w:cs="Arial"/>
          <w:szCs w:val="20"/>
          <w:lang w:val="en-NZ"/>
        </w:rPr>
      </w:pPr>
      <w:r>
        <w:rPr>
          <w:rFonts w:cs="Arial"/>
          <w:szCs w:val="20"/>
          <w:lang w:val="en-NZ"/>
        </w:rPr>
        <w:t xml:space="preserve">Aegrotat consideration is not available for assessment items within a course or programme that </w:t>
      </w:r>
      <w:r w:rsidR="00C80C97">
        <w:rPr>
          <w:rFonts w:cs="Arial"/>
          <w:szCs w:val="20"/>
          <w:lang w:val="en-NZ"/>
        </w:rPr>
        <w:t xml:space="preserve">is </w:t>
      </w:r>
      <w:r>
        <w:rPr>
          <w:rFonts w:cs="Arial"/>
          <w:szCs w:val="20"/>
          <w:lang w:val="en-NZ"/>
        </w:rPr>
        <w:t>assessed on a competency basis or where the entire course or programme is assessed on this basis. In such cases, learners must complete the required assessments.</w:t>
      </w:r>
    </w:p>
    <w:p w14:paraId="39BCBF64" w14:textId="686A81F5" w:rsidR="00364D33" w:rsidRPr="0003653F" w:rsidRDefault="00893B2F" w:rsidP="007162F5">
      <w:pPr>
        <w:pStyle w:val="BlockNumber"/>
        <w:spacing w:before="220"/>
        <w:ind w:left="1587" w:hanging="873"/>
        <w:rPr>
          <w:rFonts w:cs="Arial"/>
          <w:szCs w:val="20"/>
          <w:lang w:val="en-NZ"/>
        </w:rPr>
      </w:pPr>
      <w:r>
        <w:rPr>
          <w:rFonts w:cs="Arial"/>
          <w:szCs w:val="20"/>
          <w:lang w:val="en-NZ"/>
        </w:rPr>
        <w:t>ATNZ</w:t>
      </w:r>
      <w:r w:rsidR="00D72A1B" w:rsidRPr="0003653F">
        <w:rPr>
          <w:rFonts w:cs="Arial"/>
          <w:szCs w:val="20"/>
          <w:lang w:val="en-NZ"/>
        </w:rPr>
        <w:t xml:space="preserve">’s </w:t>
      </w:r>
      <w:r w:rsidR="009F6DFE" w:rsidRPr="0003653F">
        <w:rPr>
          <w:rFonts w:cs="Arial"/>
          <w:szCs w:val="20"/>
          <w:lang w:val="en-NZ"/>
        </w:rPr>
        <w:t xml:space="preserve">aegrotat </w:t>
      </w:r>
      <w:r w:rsidR="00D72A1B" w:rsidRPr="0003653F">
        <w:rPr>
          <w:rFonts w:cs="Arial"/>
          <w:szCs w:val="20"/>
          <w:lang w:val="en-NZ"/>
        </w:rPr>
        <w:t xml:space="preserve">provisions are intended to ensure </w:t>
      </w:r>
      <w:r w:rsidR="0021030D" w:rsidRPr="0003653F">
        <w:rPr>
          <w:rFonts w:cs="Arial"/>
          <w:szCs w:val="20"/>
          <w:lang w:val="en-NZ"/>
        </w:rPr>
        <w:t xml:space="preserve">that </w:t>
      </w:r>
      <w:r>
        <w:rPr>
          <w:rFonts w:cs="Arial"/>
          <w:szCs w:val="20"/>
          <w:lang w:val="en-NZ"/>
        </w:rPr>
        <w:t>learner</w:t>
      </w:r>
      <w:r w:rsidR="00D72A1B" w:rsidRPr="0003653F">
        <w:rPr>
          <w:rFonts w:cs="Arial"/>
          <w:szCs w:val="20"/>
          <w:lang w:val="en-NZ"/>
        </w:rPr>
        <w:t>s are not unfairly disadvantaged if, for specified circumstances beyond their control, they are unable to undertake or are impaired in the completion of a</w:t>
      </w:r>
      <w:r w:rsidR="00E16BCA" w:rsidRPr="0003653F">
        <w:rPr>
          <w:rFonts w:cs="Arial"/>
          <w:szCs w:val="20"/>
          <w:lang w:val="en-NZ"/>
        </w:rPr>
        <w:t xml:space="preserve"> summative</w:t>
      </w:r>
      <w:r w:rsidR="00D72A1B" w:rsidRPr="0003653F">
        <w:rPr>
          <w:rFonts w:cs="Arial"/>
          <w:szCs w:val="20"/>
          <w:lang w:val="en-NZ"/>
        </w:rPr>
        <w:t xml:space="preserve"> assessment.</w:t>
      </w:r>
      <w:r w:rsidR="00E975E8">
        <w:rPr>
          <w:rFonts w:cs="Arial"/>
          <w:szCs w:val="20"/>
          <w:lang w:val="en-NZ"/>
        </w:rPr>
        <w:t xml:space="preserve"> </w:t>
      </w:r>
    </w:p>
    <w:p w14:paraId="190722B1" w14:textId="3EEF0286" w:rsidR="00364D33" w:rsidRPr="0003653F" w:rsidRDefault="00D72A1B" w:rsidP="00660169">
      <w:pPr>
        <w:pStyle w:val="BlockNumber"/>
        <w:spacing w:after="80"/>
        <w:ind w:left="1587" w:hanging="873"/>
        <w:rPr>
          <w:rFonts w:cs="Arial"/>
          <w:szCs w:val="20"/>
          <w:lang w:val="en-NZ"/>
        </w:rPr>
      </w:pPr>
      <w:r w:rsidRPr="0003653F">
        <w:rPr>
          <w:rFonts w:cs="Arial"/>
          <w:szCs w:val="20"/>
          <w:lang w:val="en-NZ"/>
        </w:rPr>
        <w:t xml:space="preserve">Rather than use </w:t>
      </w:r>
      <w:r w:rsidR="0021030D" w:rsidRPr="0003653F">
        <w:rPr>
          <w:rFonts w:cs="Arial"/>
          <w:szCs w:val="20"/>
          <w:lang w:val="en-NZ"/>
        </w:rPr>
        <w:t xml:space="preserve">these </w:t>
      </w:r>
      <w:r w:rsidRPr="0003653F">
        <w:rPr>
          <w:rFonts w:cs="Arial"/>
          <w:szCs w:val="20"/>
          <w:lang w:val="en-NZ"/>
        </w:rPr>
        <w:t xml:space="preserve">aegrotat provisions, </w:t>
      </w:r>
      <w:r w:rsidR="00893B2F">
        <w:rPr>
          <w:rFonts w:cs="Arial"/>
          <w:szCs w:val="20"/>
          <w:lang w:val="en-NZ"/>
        </w:rPr>
        <w:t>ATNZ</w:t>
      </w:r>
      <w:r w:rsidRPr="0003653F">
        <w:rPr>
          <w:rFonts w:cs="Arial"/>
          <w:szCs w:val="20"/>
          <w:lang w:val="en-NZ"/>
        </w:rPr>
        <w:t xml:space="preserve"> prefers that </w:t>
      </w:r>
      <w:r w:rsidR="00893B2F">
        <w:rPr>
          <w:rFonts w:cs="Arial"/>
          <w:szCs w:val="20"/>
          <w:lang w:val="en-NZ"/>
        </w:rPr>
        <w:t>learner</w:t>
      </w:r>
      <w:r w:rsidRPr="0003653F">
        <w:rPr>
          <w:rFonts w:cs="Arial"/>
          <w:szCs w:val="20"/>
          <w:lang w:val="en-NZ"/>
        </w:rPr>
        <w:t xml:space="preserve">s </w:t>
      </w:r>
      <w:proofErr w:type="gramStart"/>
      <w:r w:rsidRPr="0003653F">
        <w:rPr>
          <w:rFonts w:cs="Arial"/>
          <w:szCs w:val="20"/>
          <w:lang w:val="en-NZ"/>
        </w:rPr>
        <w:t>have the opportunity to</w:t>
      </w:r>
      <w:proofErr w:type="gramEnd"/>
      <w:r w:rsidRPr="0003653F">
        <w:rPr>
          <w:rFonts w:cs="Arial"/>
          <w:szCs w:val="20"/>
          <w:lang w:val="en-NZ"/>
        </w:rPr>
        <w:t xml:space="preserve"> complete the</w:t>
      </w:r>
      <w:r w:rsidR="00E16BCA" w:rsidRPr="0003653F">
        <w:rPr>
          <w:rFonts w:cs="Arial"/>
          <w:szCs w:val="20"/>
          <w:lang w:val="en-NZ"/>
        </w:rPr>
        <w:t xml:space="preserve"> summative</w:t>
      </w:r>
      <w:r w:rsidRPr="0003653F">
        <w:rPr>
          <w:rFonts w:cs="Arial"/>
          <w:szCs w:val="20"/>
          <w:lang w:val="en-NZ"/>
        </w:rPr>
        <w:t xml:space="preserve"> assessment by providing:</w:t>
      </w:r>
    </w:p>
    <w:p w14:paraId="41CA9F17" w14:textId="77777777" w:rsidR="00736967" w:rsidRPr="0003653F" w:rsidRDefault="00D72A1B" w:rsidP="00135CF0">
      <w:pPr>
        <w:pStyle w:val="Bullet1"/>
        <w:tabs>
          <w:tab w:val="clear" w:pos="1494"/>
        </w:tabs>
        <w:ind w:left="2127" w:hanging="426"/>
        <w:rPr>
          <w:rFonts w:cs="Arial"/>
          <w:lang w:val="en-NZ"/>
        </w:rPr>
      </w:pPr>
      <w:r w:rsidRPr="0003653F">
        <w:rPr>
          <w:rFonts w:cs="Arial"/>
          <w:lang w:val="en-NZ"/>
        </w:rPr>
        <w:t xml:space="preserve">An extension of </w:t>
      </w:r>
      <w:proofErr w:type="gramStart"/>
      <w:r w:rsidRPr="0003653F">
        <w:rPr>
          <w:rFonts w:cs="Arial"/>
          <w:lang w:val="en-NZ"/>
        </w:rPr>
        <w:t>time;</w:t>
      </w:r>
      <w:proofErr w:type="gramEnd"/>
      <w:r w:rsidRPr="0003653F">
        <w:rPr>
          <w:rFonts w:cs="Arial"/>
          <w:lang w:val="en-NZ"/>
        </w:rPr>
        <w:t xml:space="preserve"> </w:t>
      </w:r>
    </w:p>
    <w:p w14:paraId="15461771" w14:textId="77777777" w:rsidR="00736967" w:rsidRPr="0003653F" w:rsidRDefault="00D72A1B" w:rsidP="00135CF0">
      <w:pPr>
        <w:pStyle w:val="Bullet1"/>
        <w:tabs>
          <w:tab w:val="clear" w:pos="1494"/>
        </w:tabs>
        <w:ind w:left="2127" w:hanging="426"/>
        <w:rPr>
          <w:rFonts w:cs="Arial"/>
          <w:lang w:val="en-NZ"/>
        </w:rPr>
      </w:pPr>
      <w:r w:rsidRPr="0003653F">
        <w:rPr>
          <w:rFonts w:cs="Arial"/>
          <w:lang w:val="en-NZ"/>
        </w:rPr>
        <w:t xml:space="preserve">An alternative </w:t>
      </w:r>
      <w:r w:rsidR="00E16BCA" w:rsidRPr="0003653F">
        <w:rPr>
          <w:rFonts w:cs="Arial"/>
          <w:lang w:val="en-NZ"/>
        </w:rPr>
        <w:t xml:space="preserve">summative </w:t>
      </w:r>
      <w:r w:rsidRPr="0003653F">
        <w:rPr>
          <w:rFonts w:cs="Arial"/>
          <w:lang w:val="en-NZ"/>
        </w:rPr>
        <w:t>assessment at a different</w:t>
      </w:r>
      <w:r w:rsidR="006A2C2C" w:rsidRPr="0003653F">
        <w:rPr>
          <w:rFonts w:cs="Arial"/>
          <w:lang w:val="en-NZ"/>
        </w:rPr>
        <w:t xml:space="preserve"> </w:t>
      </w:r>
      <w:proofErr w:type="gramStart"/>
      <w:r w:rsidR="006A2C2C" w:rsidRPr="0003653F">
        <w:rPr>
          <w:rFonts w:cs="Arial"/>
          <w:lang w:val="en-NZ"/>
        </w:rPr>
        <w:t>time</w:t>
      </w:r>
      <w:r w:rsidRPr="0003653F">
        <w:rPr>
          <w:rFonts w:cs="Arial"/>
          <w:lang w:val="en-NZ"/>
        </w:rPr>
        <w:t>;</w:t>
      </w:r>
      <w:proofErr w:type="gramEnd"/>
      <w:r w:rsidRPr="0003653F">
        <w:rPr>
          <w:rFonts w:cs="Arial"/>
          <w:lang w:val="en-NZ"/>
        </w:rPr>
        <w:t xml:space="preserve"> </w:t>
      </w:r>
    </w:p>
    <w:p w14:paraId="3CFDF49C" w14:textId="77777777" w:rsidR="00736967" w:rsidRPr="0003653F" w:rsidRDefault="00D72A1B" w:rsidP="00135CF0">
      <w:pPr>
        <w:pStyle w:val="Bullet1"/>
        <w:tabs>
          <w:tab w:val="clear" w:pos="1494"/>
        </w:tabs>
        <w:ind w:left="2127" w:hanging="426"/>
        <w:rPr>
          <w:rFonts w:cs="Arial"/>
          <w:lang w:val="en-NZ"/>
        </w:rPr>
      </w:pPr>
      <w:r w:rsidRPr="0003653F">
        <w:rPr>
          <w:rFonts w:cs="Arial"/>
          <w:lang w:val="en-NZ"/>
        </w:rPr>
        <w:t>An opportunity to re-sit the assessment; or</w:t>
      </w:r>
    </w:p>
    <w:p w14:paraId="759DE51A" w14:textId="22DCB23B" w:rsidR="00736967" w:rsidRPr="0003653F" w:rsidRDefault="0021030D" w:rsidP="00135CF0">
      <w:pPr>
        <w:pStyle w:val="Bullet1"/>
        <w:tabs>
          <w:tab w:val="clear" w:pos="1494"/>
        </w:tabs>
        <w:ind w:left="2127" w:hanging="426"/>
        <w:rPr>
          <w:rFonts w:cs="Arial"/>
          <w:lang w:val="en-NZ"/>
        </w:rPr>
      </w:pPr>
      <w:r w:rsidRPr="0003653F">
        <w:rPr>
          <w:rFonts w:cs="Arial"/>
          <w:lang w:val="en-NZ"/>
        </w:rPr>
        <w:t>Examination or test assistance</w:t>
      </w:r>
      <w:r w:rsidR="00D72A1B" w:rsidRPr="0003653F">
        <w:rPr>
          <w:rFonts w:cs="Arial"/>
          <w:lang w:val="en-NZ"/>
        </w:rPr>
        <w:t xml:space="preserve"> to undertake the assessment (such as a reader/writer)</w:t>
      </w:r>
      <w:r w:rsidRPr="0003653F">
        <w:rPr>
          <w:rFonts w:cs="Arial"/>
          <w:lang w:val="en-NZ"/>
        </w:rPr>
        <w:t xml:space="preserve"> (see section </w:t>
      </w:r>
      <w:r w:rsidR="00943180">
        <w:rPr>
          <w:rFonts w:cs="Arial"/>
          <w:lang w:val="en-NZ"/>
        </w:rPr>
        <w:t>9</w:t>
      </w:r>
      <w:r w:rsidRPr="0003653F">
        <w:rPr>
          <w:rFonts w:cs="Arial"/>
          <w:lang w:val="en-NZ"/>
        </w:rPr>
        <w:t>.6: Examination and test assistance)</w:t>
      </w:r>
      <w:r w:rsidR="00D72A1B" w:rsidRPr="0003653F">
        <w:rPr>
          <w:rFonts w:cs="Arial"/>
          <w:lang w:val="en-NZ"/>
        </w:rPr>
        <w:t>.</w:t>
      </w:r>
    </w:p>
    <w:p w14:paraId="456B0DE2" w14:textId="5FB7AEA9" w:rsidR="00E8784B" w:rsidRDefault="00D72A1B" w:rsidP="00766BF9">
      <w:pPr>
        <w:pStyle w:val="BlockNumber"/>
        <w:ind w:left="1587" w:hanging="873"/>
        <w:rPr>
          <w:rFonts w:cs="Arial"/>
          <w:szCs w:val="20"/>
          <w:lang w:val="en-NZ"/>
        </w:rPr>
      </w:pPr>
      <w:r w:rsidRPr="0003653F">
        <w:rPr>
          <w:rFonts w:cs="Arial"/>
          <w:szCs w:val="20"/>
          <w:lang w:val="en-NZ"/>
        </w:rPr>
        <w:t xml:space="preserve">Wherever possible, </w:t>
      </w:r>
      <w:r w:rsidR="00893B2F">
        <w:rPr>
          <w:rFonts w:cs="Arial"/>
          <w:szCs w:val="20"/>
          <w:lang w:val="en-NZ"/>
        </w:rPr>
        <w:t>learner</w:t>
      </w:r>
      <w:r w:rsidR="002F764A" w:rsidRPr="0003653F">
        <w:rPr>
          <w:rFonts w:cs="Arial"/>
          <w:szCs w:val="20"/>
          <w:lang w:val="en-NZ"/>
        </w:rPr>
        <w:t>s</w:t>
      </w:r>
      <w:r w:rsidRPr="0003653F">
        <w:rPr>
          <w:rFonts w:cs="Arial"/>
          <w:szCs w:val="20"/>
          <w:lang w:val="en-NZ"/>
        </w:rPr>
        <w:t xml:space="preserve"> should attempt an assessment and apply for</w:t>
      </w:r>
      <w:r w:rsidR="00463219" w:rsidRPr="0003653F">
        <w:rPr>
          <w:rFonts w:cs="Arial"/>
          <w:szCs w:val="20"/>
          <w:lang w:val="en-NZ"/>
        </w:rPr>
        <w:t xml:space="preserve"> an aegrotat pass </w:t>
      </w:r>
      <w:proofErr w:type="gramStart"/>
      <w:r w:rsidR="00463219" w:rsidRPr="0003653F">
        <w:rPr>
          <w:rFonts w:cs="Arial"/>
          <w:szCs w:val="20"/>
          <w:lang w:val="en-NZ"/>
        </w:rPr>
        <w:t>on the basis of</w:t>
      </w:r>
      <w:proofErr w:type="gramEnd"/>
      <w:r w:rsidRPr="0003653F">
        <w:rPr>
          <w:rFonts w:cs="Arial"/>
          <w:szCs w:val="20"/>
          <w:lang w:val="en-NZ"/>
        </w:rPr>
        <w:t xml:space="preserve"> impaired performance.</w:t>
      </w:r>
    </w:p>
    <w:p w14:paraId="37005F42" w14:textId="2FFC9FAF" w:rsidR="003E0A01" w:rsidRPr="0003653F" w:rsidRDefault="00893B2F" w:rsidP="00766BF9">
      <w:pPr>
        <w:pStyle w:val="BlockNumber"/>
        <w:ind w:left="1587" w:hanging="873"/>
        <w:rPr>
          <w:rFonts w:cs="Arial"/>
          <w:szCs w:val="20"/>
          <w:lang w:val="en-NZ"/>
        </w:rPr>
      </w:pPr>
      <w:r>
        <w:rPr>
          <w:rFonts w:cs="Arial"/>
          <w:szCs w:val="20"/>
          <w:lang w:val="en-NZ"/>
        </w:rPr>
        <w:t>Learner</w:t>
      </w:r>
      <w:r w:rsidR="00D72A1B" w:rsidRPr="0003653F">
        <w:rPr>
          <w:rFonts w:cs="Arial"/>
          <w:szCs w:val="20"/>
          <w:lang w:val="en-NZ"/>
        </w:rPr>
        <w:t xml:space="preserve">s </w:t>
      </w:r>
      <w:r w:rsidR="00A24CFA" w:rsidRPr="0003653F">
        <w:rPr>
          <w:rFonts w:cs="Arial"/>
          <w:szCs w:val="20"/>
          <w:lang w:val="en-NZ"/>
        </w:rPr>
        <w:t>shall</w:t>
      </w:r>
      <w:r w:rsidR="00FE448C" w:rsidRPr="0003653F">
        <w:rPr>
          <w:rFonts w:cs="Arial"/>
          <w:szCs w:val="20"/>
          <w:lang w:val="en-NZ"/>
        </w:rPr>
        <w:t xml:space="preserve"> </w:t>
      </w:r>
      <w:r w:rsidR="007E6CB8" w:rsidRPr="0003653F">
        <w:rPr>
          <w:rFonts w:cs="Arial"/>
          <w:szCs w:val="20"/>
          <w:lang w:val="en-NZ"/>
        </w:rPr>
        <w:t xml:space="preserve">be </w:t>
      </w:r>
      <w:r w:rsidR="00E62F69" w:rsidRPr="0003653F">
        <w:rPr>
          <w:rFonts w:cs="Arial"/>
          <w:szCs w:val="20"/>
          <w:lang w:val="en-NZ"/>
        </w:rPr>
        <w:t xml:space="preserve">eligible </w:t>
      </w:r>
      <w:r w:rsidR="00FE448C" w:rsidRPr="0003653F">
        <w:rPr>
          <w:rFonts w:cs="Arial"/>
          <w:szCs w:val="20"/>
          <w:lang w:val="en-NZ"/>
        </w:rPr>
        <w:t>to be considered for an</w:t>
      </w:r>
      <w:r w:rsidR="00D72A1B" w:rsidRPr="0003653F">
        <w:rPr>
          <w:rFonts w:cs="Arial"/>
          <w:szCs w:val="20"/>
          <w:lang w:val="en-NZ"/>
        </w:rPr>
        <w:t xml:space="preserve"> aegrotat pass</w:t>
      </w:r>
      <w:r w:rsidR="00BB3750">
        <w:rPr>
          <w:rFonts w:cs="Arial"/>
          <w:szCs w:val="20"/>
          <w:lang w:val="en-NZ"/>
        </w:rPr>
        <w:t xml:space="preserve"> in an </w:t>
      </w:r>
      <w:proofErr w:type="gramStart"/>
      <w:r w:rsidR="00BB3750">
        <w:rPr>
          <w:rFonts w:cs="Arial"/>
          <w:szCs w:val="20"/>
          <w:lang w:val="en-NZ"/>
        </w:rPr>
        <w:t>achievement based</w:t>
      </w:r>
      <w:proofErr w:type="gramEnd"/>
      <w:r w:rsidR="00BB3750">
        <w:rPr>
          <w:rFonts w:cs="Arial"/>
          <w:szCs w:val="20"/>
          <w:lang w:val="en-NZ"/>
        </w:rPr>
        <w:t xml:space="preserve"> c</w:t>
      </w:r>
      <w:r w:rsidR="005873BD">
        <w:rPr>
          <w:rFonts w:cs="Arial"/>
          <w:szCs w:val="20"/>
          <w:lang w:val="en-NZ"/>
        </w:rPr>
        <w:t>ourse</w:t>
      </w:r>
      <w:r w:rsidR="00D72A1B" w:rsidRPr="0003653F">
        <w:rPr>
          <w:rFonts w:cs="Arial"/>
          <w:szCs w:val="20"/>
          <w:lang w:val="en-NZ"/>
        </w:rPr>
        <w:t xml:space="preserve"> if</w:t>
      </w:r>
      <w:r w:rsidR="003E0A01" w:rsidRPr="0003653F">
        <w:rPr>
          <w:rFonts w:cs="Arial"/>
          <w:szCs w:val="20"/>
          <w:lang w:val="en-NZ"/>
        </w:rPr>
        <w:t>:</w:t>
      </w:r>
    </w:p>
    <w:p w14:paraId="24533DBF" w14:textId="77777777" w:rsidR="00364D33" w:rsidRPr="0003653F" w:rsidRDefault="003E0A01" w:rsidP="003A312D">
      <w:pPr>
        <w:pStyle w:val="Bullet1"/>
        <w:tabs>
          <w:tab w:val="clear" w:pos="1494"/>
        </w:tabs>
        <w:ind w:left="2127" w:hanging="426"/>
        <w:rPr>
          <w:rFonts w:cs="Arial"/>
          <w:lang w:val="en-NZ"/>
        </w:rPr>
      </w:pPr>
      <w:r w:rsidRPr="0003653F">
        <w:rPr>
          <w:rFonts w:cs="Arial"/>
          <w:lang w:val="en-NZ"/>
        </w:rPr>
        <w:t>D</w:t>
      </w:r>
      <w:r w:rsidR="00D72A1B" w:rsidRPr="0003653F">
        <w:rPr>
          <w:rFonts w:cs="Arial"/>
          <w:lang w:val="en-NZ"/>
        </w:rPr>
        <w:t>ue to illness, injury</w:t>
      </w:r>
      <w:r w:rsidR="00D706F9" w:rsidRPr="0003653F">
        <w:rPr>
          <w:rFonts w:cs="Arial"/>
          <w:lang w:val="en-NZ"/>
        </w:rPr>
        <w:t xml:space="preserve">, bereavement, </w:t>
      </w:r>
      <w:r w:rsidR="00D72A1B" w:rsidRPr="0003653F">
        <w:rPr>
          <w:rFonts w:cs="Arial"/>
          <w:lang w:val="en-NZ"/>
        </w:rPr>
        <w:t>or other exceptional circumstances beyond their control, they are:</w:t>
      </w:r>
    </w:p>
    <w:p w14:paraId="287488E7" w14:textId="77777777" w:rsidR="00736967" w:rsidRPr="0003653F" w:rsidRDefault="00D72A1B" w:rsidP="00566D87">
      <w:pPr>
        <w:pStyle w:val="Bullet1"/>
        <w:numPr>
          <w:ilvl w:val="0"/>
          <w:numId w:val="8"/>
        </w:numPr>
        <w:rPr>
          <w:rFonts w:cs="Arial"/>
          <w:lang w:val="en-NZ"/>
        </w:rPr>
      </w:pPr>
      <w:r w:rsidRPr="0003653F">
        <w:rPr>
          <w:rFonts w:cs="Arial"/>
          <w:lang w:val="en-NZ"/>
        </w:rPr>
        <w:t xml:space="preserve">Unable to present work for </w:t>
      </w:r>
      <w:r w:rsidR="0052740C" w:rsidRPr="0003653F">
        <w:rPr>
          <w:rFonts w:cs="Arial"/>
          <w:lang w:val="en-NZ"/>
        </w:rPr>
        <w:t>a</w:t>
      </w:r>
      <w:r w:rsidR="00E16BCA" w:rsidRPr="0003653F">
        <w:rPr>
          <w:rFonts w:cs="Arial"/>
          <w:lang w:val="en-NZ"/>
        </w:rPr>
        <w:t xml:space="preserve"> summative</w:t>
      </w:r>
      <w:r w:rsidR="0052740C" w:rsidRPr="0003653F">
        <w:rPr>
          <w:rFonts w:cs="Arial"/>
          <w:lang w:val="en-NZ"/>
        </w:rPr>
        <w:t xml:space="preserve"> </w:t>
      </w:r>
      <w:r w:rsidRPr="0003653F">
        <w:rPr>
          <w:rFonts w:cs="Arial"/>
          <w:lang w:val="en-NZ"/>
        </w:rPr>
        <w:t>assessment at the time it is due and where an extension of time is not available; or</w:t>
      </w:r>
    </w:p>
    <w:p w14:paraId="19B4C875" w14:textId="77777777" w:rsidR="00736967" w:rsidRPr="0003653F" w:rsidRDefault="00D72A1B" w:rsidP="00566D87">
      <w:pPr>
        <w:pStyle w:val="Bullet1"/>
        <w:numPr>
          <w:ilvl w:val="0"/>
          <w:numId w:val="8"/>
        </w:numPr>
        <w:rPr>
          <w:rFonts w:cs="Arial"/>
          <w:lang w:val="en-NZ"/>
        </w:rPr>
      </w:pPr>
      <w:r w:rsidRPr="0003653F">
        <w:rPr>
          <w:rFonts w:cs="Arial"/>
          <w:lang w:val="en-NZ"/>
        </w:rPr>
        <w:t xml:space="preserve">Unable to attend a test or examination; or </w:t>
      </w:r>
    </w:p>
    <w:p w14:paraId="477AEF5E" w14:textId="77777777" w:rsidR="00736967" w:rsidRPr="0003653F" w:rsidRDefault="00D72A1B" w:rsidP="00566D87">
      <w:pPr>
        <w:pStyle w:val="Bullet1"/>
        <w:numPr>
          <w:ilvl w:val="0"/>
          <w:numId w:val="8"/>
        </w:numPr>
        <w:rPr>
          <w:rFonts w:cs="Arial"/>
          <w:lang w:val="en-NZ"/>
        </w:rPr>
      </w:pPr>
      <w:r w:rsidRPr="0003653F">
        <w:rPr>
          <w:rFonts w:cs="Arial"/>
          <w:lang w:val="en-NZ"/>
        </w:rPr>
        <w:t xml:space="preserve">Prevented from preparing for </w:t>
      </w:r>
      <w:r w:rsidR="00E16BCA" w:rsidRPr="0003653F">
        <w:rPr>
          <w:rFonts w:cs="Arial"/>
          <w:lang w:val="en-NZ"/>
        </w:rPr>
        <w:t xml:space="preserve">a summative </w:t>
      </w:r>
      <w:r w:rsidRPr="0003653F">
        <w:rPr>
          <w:rFonts w:cs="Arial"/>
          <w:lang w:val="en-NZ"/>
        </w:rPr>
        <w:t>assessment; or</w:t>
      </w:r>
    </w:p>
    <w:p w14:paraId="523DD232" w14:textId="77777777" w:rsidR="00736967" w:rsidRPr="0003653F" w:rsidRDefault="00D72A1B" w:rsidP="00566D87">
      <w:pPr>
        <w:pStyle w:val="Bullet1"/>
        <w:numPr>
          <w:ilvl w:val="0"/>
          <w:numId w:val="8"/>
        </w:numPr>
        <w:rPr>
          <w:rFonts w:cs="Arial"/>
          <w:b/>
          <w:lang w:val="en-NZ"/>
        </w:rPr>
      </w:pPr>
      <w:r w:rsidRPr="0003653F">
        <w:rPr>
          <w:rFonts w:cs="Arial"/>
          <w:lang w:val="en-NZ"/>
        </w:rPr>
        <w:t xml:space="preserve">Seriously impaired in their performance in a test or examination (impaired performance); </w:t>
      </w:r>
      <w:r w:rsidR="00743CB2" w:rsidRPr="0003653F">
        <w:rPr>
          <w:rFonts w:cs="Arial"/>
          <w:lang w:val="en-NZ"/>
        </w:rPr>
        <w:t>and</w:t>
      </w:r>
    </w:p>
    <w:p w14:paraId="28B5BB55" w14:textId="77777777" w:rsidR="008B5EF9" w:rsidRPr="0003653F" w:rsidRDefault="00FE448C" w:rsidP="003A312D">
      <w:pPr>
        <w:pStyle w:val="Bullet1"/>
        <w:tabs>
          <w:tab w:val="clear" w:pos="1494"/>
        </w:tabs>
        <w:ind w:left="2127" w:hanging="426"/>
        <w:rPr>
          <w:rFonts w:cs="Arial"/>
          <w:lang w:val="en-NZ"/>
        </w:rPr>
      </w:pPr>
      <w:r w:rsidRPr="0003653F">
        <w:rPr>
          <w:rFonts w:cs="Arial"/>
          <w:lang w:val="en-NZ"/>
        </w:rPr>
        <w:t>They h</w:t>
      </w:r>
      <w:r w:rsidR="008B5EF9" w:rsidRPr="0003653F">
        <w:rPr>
          <w:rFonts w:cs="Arial"/>
          <w:lang w:val="en-NZ"/>
        </w:rPr>
        <w:t xml:space="preserve">ave failed to achieve a pass in the course as a result; </w:t>
      </w:r>
      <w:r w:rsidR="00743CB2" w:rsidRPr="0003653F">
        <w:rPr>
          <w:rFonts w:cs="Arial"/>
          <w:lang w:val="en-NZ"/>
        </w:rPr>
        <w:t xml:space="preserve">and </w:t>
      </w:r>
    </w:p>
    <w:p w14:paraId="5EE06652" w14:textId="77777777" w:rsidR="00120B9C" w:rsidRPr="0003653F" w:rsidRDefault="00D72A1B" w:rsidP="003A312D">
      <w:pPr>
        <w:pStyle w:val="Bullet1"/>
        <w:tabs>
          <w:tab w:val="clear" w:pos="1494"/>
        </w:tabs>
        <w:ind w:left="2127" w:hanging="426"/>
        <w:rPr>
          <w:rFonts w:cs="Arial"/>
          <w:lang w:val="en-NZ"/>
        </w:rPr>
      </w:pPr>
      <w:r w:rsidRPr="0003653F">
        <w:rPr>
          <w:rFonts w:cs="Arial"/>
          <w:lang w:val="en-NZ"/>
        </w:rPr>
        <w:t xml:space="preserve">An alternative </w:t>
      </w:r>
      <w:r w:rsidR="00E16BCA" w:rsidRPr="0003653F">
        <w:rPr>
          <w:rFonts w:cs="Arial"/>
          <w:lang w:val="en-NZ"/>
        </w:rPr>
        <w:t xml:space="preserve">summative </w:t>
      </w:r>
      <w:r w:rsidRPr="0003653F">
        <w:rPr>
          <w:rFonts w:cs="Arial"/>
          <w:lang w:val="en-NZ"/>
        </w:rPr>
        <w:t>assessment is not available</w:t>
      </w:r>
      <w:r w:rsidR="003E0A01" w:rsidRPr="0003653F">
        <w:rPr>
          <w:rFonts w:cs="Arial"/>
          <w:lang w:val="en-NZ"/>
        </w:rPr>
        <w:t>;</w:t>
      </w:r>
      <w:r w:rsidR="00743CB2" w:rsidRPr="0003653F">
        <w:rPr>
          <w:rFonts w:cs="Arial"/>
          <w:lang w:val="en-NZ"/>
        </w:rPr>
        <w:t xml:space="preserve"> and </w:t>
      </w:r>
    </w:p>
    <w:p w14:paraId="61C24BB4" w14:textId="2D98349B" w:rsidR="00736967" w:rsidRPr="0003653F" w:rsidRDefault="00D72A1B" w:rsidP="003A312D">
      <w:pPr>
        <w:pStyle w:val="Bullet1"/>
        <w:tabs>
          <w:tab w:val="clear" w:pos="1494"/>
        </w:tabs>
        <w:ind w:left="2127" w:hanging="426"/>
        <w:rPr>
          <w:rFonts w:cs="Arial"/>
          <w:lang w:val="en-NZ"/>
        </w:rPr>
      </w:pPr>
      <w:r w:rsidRPr="0003653F">
        <w:rPr>
          <w:rFonts w:cs="Arial"/>
          <w:lang w:val="en-NZ"/>
        </w:rPr>
        <w:t xml:space="preserve">The relevant </w:t>
      </w:r>
      <w:r w:rsidR="00C8575C" w:rsidRPr="0003653F">
        <w:rPr>
          <w:rFonts w:cs="Arial"/>
          <w:lang w:val="en-NZ"/>
        </w:rPr>
        <w:t xml:space="preserve">Programme Regulations </w:t>
      </w:r>
      <w:r w:rsidRPr="0003653F">
        <w:rPr>
          <w:rFonts w:cs="Arial"/>
          <w:lang w:val="en-NZ"/>
        </w:rPr>
        <w:t xml:space="preserve">allow </w:t>
      </w:r>
      <w:r w:rsidR="000C514F" w:rsidRPr="0003653F">
        <w:rPr>
          <w:rFonts w:cs="Arial"/>
          <w:lang w:val="en-NZ"/>
        </w:rPr>
        <w:t xml:space="preserve">for </w:t>
      </w:r>
      <w:r w:rsidR="00EE4F5A" w:rsidRPr="0003653F">
        <w:rPr>
          <w:rFonts w:cs="Arial"/>
          <w:lang w:val="en-NZ"/>
        </w:rPr>
        <w:t xml:space="preserve">an </w:t>
      </w:r>
      <w:r w:rsidRPr="0003653F">
        <w:rPr>
          <w:rFonts w:cs="Arial"/>
          <w:lang w:val="en-NZ"/>
        </w:rPr>
        <w:t xml:space="preserve">aegrotat </w:t>
      </w:r>
      <w:r w:rsidR="000C514F" w:rsidRPr="0003653F">
        <w:rPr>
          <w:rFonts w:cs="Arial"/>
          <w:lang w:val="en-NZ"/>
        </w:rPr>
        <w:t>pass to be granted</w:t>
      </w:r>
      <w:r w:rsidRPr="0003653F">
        <w:rPr>
          <w:rFonts w:cs="Arial"/>
          <w:lang w:val="en-NZ"/>
        </w:rPr>
        <w:t>;</w:t>
      </w:r>
      <w:r w:rsidR="003E0A01" w:rsidRPr="0003653F">
        <w:rPr>
          <w:rFonts w:cs="Arial"/>
          <w:lang w:val="en-NZ"/>
        </w:rPr>
        <w:t xml:space="preserve"> and</w:t>
      </w:r>
    </w:p>
    <w:p w14:paraId="75DF1227" w14:textId="7EE0E354" w:rsidR="003E0A01" w:rsidRPr="0003653F" w:rsidRDefault="00D72A1B" w:rsidP="003E0A01">
      <w:pPr>
        <w:pStyle w:val="Bullet1"/>
        <w:tabs>
          <w:tab w:val="clear" w:pos="1494"/>
        </w:tabs>
        <w:spacing w:after="120"/>
        <w:ind w:left="2126" w:hanging="425"/>
        <w:rPr>
          <w:rFonts w:cs="Arial"/>
          <w:lang w:val="en-NZ"/>
        </w:rPr>
      </w:pPr>
      <w:r w:rsidRPr="0003653F">
        <w:rPr>
          <w:rFonts w:cs="Arial"/>
          <w:lang w:val="en-NZ"/>
        </w:rPr>
        <w:t xml:space="preserve">They </w:t>
      </w:r>
      <w:r w:rsidR="003E0A01" w:rsidRPr="0003653F">
        <w:rPr>
          <w:rFonts w:cs="Arial"/>
          <w:lang w:val="en-NZ"/>
        </w:rPr>
        <w:t>are</w:t>
      </w:r>
      <w:r w:rsidRPr="0003653F">
        <w:rPr>
          <w:rFonts w:cs="Arial"/>
          <w:lang w:val="en-NZ"/>
        </w:rPr>
        <w:t xml:space="preserve"> enrolled</w:t>
      </w:r>
      <w:r w:rsidR="00EE4F5A" w:rsidRPr="0003653F">
        <w:rPr>
          <w:rFonts w:cs="Arial"/>
          <w:lang w:val="en-NZ"/>
        </w:rPr>
        <w:t xml:space="preserve"> </w:t>
      </w:r>
      <w:r w:rsidR="00B83B21" w:rsidRPr="0003653F">
        <w:rPr>
          <w:rFonts w:cs="Arial"/>
          <w:lang w:val="en-NZ"/>
        </w:rPr>
        <w:t>i</w:t>
      </w:r>
      <w:r w:rsidRPr="0003653F">
        <w:rPr>
          <w:rFonts w:cs="Arial"/>
          <w:lang w:val="en-NZ"/>
        </w:rPr>
        <w:t>n the programme to which the application relates, and all fees have been paid</w:t>
      </w:r>
      <w:r w:rsidR="003E0A01" w:rsidRPr="0003653F">
        <w:rPr>
          <w:rFonts w:cs="Arial"/>
          <w:lang w:val="en-NZ"/>
        </w:rPr>
        <w:t>.</w:t>
      </w:r>
    </w:p>
    <w:p w14:paraId="652E0261" w14:textId="059E3015" w:rsidR="00FE448C" w:rsidRPr="0003653F" w:rsidRDefault="00893B2F" w:rsidP="003E0A01">
      <w:pPr>
        <w:pStyle w:val="BlockNumber"/>
        <w:ind w:left="1587" w:hanging="873"/>
        <w:rPr>
          <w:rFonts w:cs="Arial"/>
          <w:szCs w:val="20"/>
          <w:lang w:val="en-NZ"/>
        </w:rPr>
      </w:pPr>
      <w:r>
        <w:rPr>
          <w:rFonts w:cs="Arial"/>
          <w:szCs w:val="20"/>
          <w:lang w:val="en-NZ"/>
        </w:rPr>
        <w:t>Learner</w:t>
      </w:r>
      <w:r w:rsidR="00FE448C" w:rsidRPr="0003653F">
        <w:rPr>
          <w:rFonts w:cs="Arial"/>
          <w:szCs w:val="20"/>
          <w:lang w:val="en-NZ"/>
        </w:rPr>
        <w:t xml:space="preserve">s who fail to present work for or undertake </w:t>
      </w:r>
      <w:r w:rsidR="00E16BCA" w:rsidRPr="0003653F">
        <w:rPr>
          <w:rFonts w:cs="Arial"/>
          <w:szCs w:val="20"/>
          <w:lang w:val="en-NZ"/>
        </w:rPr>
        <w:t xml:space="preserve">a summative </w:t>
      </w:r>
      <w:r w:rsidR="00FE448C" w:rsidRPr="0003653F">
        <w:rPr>
          <w:rFonts w:cs="Arial"/>
          <w:szCs w:val="20"/>
          <w:lang w:val="en-NZ"/>
        </w:rPr>
        <w:t xml:space="preserve">assessment through </w:t>
      </w:r>
      <w:r w:rsidR="00377248">
        <w:rPr>
          <w:rFonts w:cs="Arial"/>
          <w:szCs w:val="20"/>
          <w:lang w:val="en-NZ"/>
        </w:rPr>
        <w:t xml:space="preserve">oversight, </w:t>
      </w:r>
      <w:proofErr w:type="gramStart"/>
      <w:r w:rsidR="00377248">
        <w:rPr>
          <w:rFonts w:cs="Arial"/>
          <w:szCs w:val="20"/>
          <w:lang w:val="en-NZ"/>
        </w:rPr>
        <w:t>absence</w:t>
      </w:r>
      <w:proofErr w:type="gramEnd"/>
      <w:r w:rsidR="00377248">
        <w:rPr>
          <w:rFonts w:cs="Arial"/>
          <w:szCs w:val="20"/>
          <w:lang w:val="en-NZ"/>
        </w:rPr>
        <w:t xml:space="preserve"> or </w:t>
      </w:r>
      <w:r w:rsidR="00FE448C" w:rsidRPr="0003653F">
        <w:rPr>
          <w:rFonts w:cs="Arial"/>
          <w:szCs w:val="20"/>
          <w:lang w:val="en-NZ"/>
        </w:rPr>
        <w:t>lack of familiarity with the published assessment requirements of a course may not apply for an aegrotat pass</w:t>
      </w:r>
      <w:r w:rsidR="00377248">
        <w:rPr>
          <w:rFonts w:cs="Arial"/>
          <w:szCs w:val="20"/>
          <w:lang w:val="en-NZ"/>
        </w:rPr>
        <w:t xml:space="preserve"> except as provided for in </w:t>
      </w:r>
      <w:r w:rsidR="0073470E">
        <w:rPr>
          <w:rFonts w:cs="Arial"/>
          <w:szCs w:val="20"/>
          <w:lang w:val="en-NZ"/>
        </w:rPr>
        <w:t>10</w:t>
      </w:r>
      <w:r w:rsidR="00377248">
        <w:rPr>
          <w:rFonts w:cs="Arial"/>
          <w:szCs w:val="20"/>
          <w:lang w:val="en-NZ"/>
        </w:rPr>
        <w:t>.1</w:t>
      </w:r>
      <w:r w:rsidR="009E3A66">
        <w:rPr>
          <w:rFonts w:cs="Arial"/>
          <w:szCs w:val="20"/>
          <w:lang w:val="en-NZ"/>
        </w:rPr>
        <w:t>0</w:t>
      </w:r>
      <w:r w:rsidR="00377248">
        <w:rPr>
          <w:rFonts w:cs="Arial"/>
          <w:szCs w:val="20"/>
          <w:lang w:val="en-NZ"/>
        </w:rPr>
        <w:t>.4</w:t>
      </w:r>
      <w:r w:rsidR="00FE448C" w:rsidRPr="0003653F">
        <w:rPr>
          <w:rFonts w:cs="Arial"/>
          <w:szCs w:val="20"/>
          <w:lang w:val="en-NZ"/>
        </w:rPr>
        <w:t>.</w:t>
      </w:r>
    </w:p>
    <w:p w14:paraId="311E3E6C" w14:textId="0430A7F8" w:rsidR="00B4239C" w:rsidRPr="0003653F" w:rsidRDefault="00893B2F" w:rsidP="00862058">
      <w:pPr>
        <w:pStyle w:val="BlockNumber"/>
        <w:ind w:left="1587" w:hanging="873"/>
        <w:rPr>
          <w:rFonts w:cs="Arial"/>
          <w:szCs w:val="20"/>
        </w:rPr>
      </w:pPr>
      <w:r>
        <w:rPr>
          <w:rFonts w:cs="Arial"/>
          <w:szCs w:val="20"/>
        </w:rPr>
        <w:t>Learner</w:t>
      </w:r>
      <w:r w:rsidR="00B4239C" w:rsidRPr="0003653F">
        <w:rPr>
          <w:rFonts w:cs="Arial"/>
          <w:szCs w:val="20"/>
        </w:rPr>
        <w:t xml:space="preserve">s seeking consideration for an </w:t>
      </w:r>
      <w:proofErr w:type="spellStart"/>
      <w:r w:rsidR="00B4239C" w:rsidRPr="0003653F">
        <w:rPr>
          <w:rFonts w:cs="Arial"/>
          <w:szCs w:val="20"/>
        </w:rPr>
        <w:t>aegrotat</w:t>
      </w:r>
      <w:proofErr w:type="spellEnd"/>
      <w:r w:rsidR="00B4239C" w:rsidRPr="0003653F">
        <w:rPr>
          <w:rFonts w:cs="Arial"/>
          <w:szCs w:val="20"/>
        </w:rPr>
        <w:t xml:space="preserve"> pass must sub</w:t>
      </w:r>
      <w:r w:rsidR="00FE4857" w:rsidRPr="0003653F">
        <w:rPr>
          <w:rFonts w:cs="Arial"/>
          <w:szCs w:val="20"/>
        </w:rPr>
        <w:t>mit</w:t>
      </w:r>
      <w:r w:rsidR="00B4239C" w:rsidRPr="0003653F">
        <w:rPr>
          <w:rFonts w:cs="Arial"/>
          <w:szCs w:val="20"/>
        </w:rPr>
        <w:t xml:space="preserve"> a completed </w:t>
      </w:r>
      <w:r w:rsidR="00377248">
        <w:rPr>
          <w:rFonts w:cs="Arial"/>
          <w:szCs w:val="20"/>
        </w:rPr>
        <w:t>application to the</w:t>
      </w:r>
      <w:r w:rsidR="005C35A7">
        <w:rPr>
          <w:rFonts w:cs="Arial"/>
          <w:szCs w:val="20"/>
        </w:rPr>
        <w:t xml:space="preserve"> Academic Manager </w:t>
      </w:r>
      <w:r w:rsidR="00B4239C" w:rsidRPr="0003653F">
        <w:rPr>
          <w:rFonts w:cs="Arial"/>
          <w:szCs w:val="20"/>
        </w:rPr>
        <w:t xml:space="preserve">within five working days of the date on which the assessment was due or the date of the test or examination.  </w:t>
      </w:r>
      <w:r w:rsidR="00BD6F7F" w:rsidRPr="0003653F">
        <w:rPr>
          <w:rFonts w:cs="Arial"/>
          <w:szCs w:val="20"/>
        </w:rPr>
        <w:t>A</w:t>
      </w:r>
      <w:r w:rsidR="00B4239C" w:rsidRPr="0003653F">
        <w:rPr>
          <w:rFonts w:cs="Arial"/>
          <w:szCs w:val="20"/>
        </w:rPr>
        <w:t>pplication</w:t>
      </w:r>
      <w:r w:rsidR="00BD6F7F" w:rsidRPr="0003653F">
        <w:rPr>
          <w:rFonts w:cs="Arial"/>
          <w:szCs w:val="20"/>
        </w:rPr>
        <w:t>s</w:t>
      </w:r>
      <w:r w:rsidR="00B4239C" w:rsidRPr="0003653F">
        <w:rPr>
          <w:rFonts w:cs="Arial"/>
          <w:szCs w:val="20"/>
        </w:rPr>
        <w:t xml:space="preserve"> must be accompanied by a medical certificate or other appropriate documentary evidence </w:t>
      </w:r>
      <w:r w:rsidR="00D51733" w:rsidRPr="0003653F">
        <w:rPr>
          <w:rFonts w:cs="Arial"/>
          <w:szCs w:val="20"/>
        </w:rPr>
        <w:t xml:space="preserve">of the </w:t>
      </w:r>
      <w:r w:rsidR="00D51733" w:rsidRPr="0003653F">
        <w:rPr>
          <w:rFonts w:cs="Arial"/>
          <w:szCs w:val="20"/>
          <w:lang w:val="en-NZ"/>
        </w:rPr>
        <w:t xml:space="preserve">illness, injury, </w:t>
      </w:r>
      <w:r w:rsidR="003A68C5" w:rsidRPr="0003653F">
        <w:rPr>
          <w:rFonts w:cs="Arial"/>
          <w:szCs w:val="20"/>
          <w:lang w:val="en-NZ"/>
        </w:rPr>
        <w:lastRenderedPageBreak/>
        <w:t>bereavement</w:t>
      </w:r>
      <w:r w:rsidR="00B4239C" w:rsidRPr="0003653F">
        <w:rPr>
          <w:rFonts w:cs="Arial"/>
          <w:szCs w:val="20"/>
        </w:rPr>
        <w:t xml:space="preserve">, or other exceptional circumstance.  The medical certificate or other documentary evidence must contain the opinion of a suitably qualified person that the </w:t>
      </w:r>
      <w:r>
        <w:rPr>
          <w:rFonts w:cs="Arial"/>
          <w:szCs w:val="20"/>
        </w:rPr>
        <w:t>learner</w:t>
      </w:r>
      <w:r w:rsidR="00B4239C" w:rsidRPr="0003653F">
        <w:rPr>
          <w:rFonts w:cs="Arial"/>
          <w:szCs w:val="20"/>
        </w:rPr>
        <w:t xml:space="preserve"> was incapable of presenting the work for assessment or of attending the test or examination or that their performance was impaired.  Reason(s) for the above </w:t>
      </w:r>
      <w:r w:rsidR="00E1565B" w:rsidRPr="0003653F">
        <w:rPr>
          <w:rFonts w:cs="Arial"/>
          <w:szCs w:val="20"/>
        </w:rPr>
        <w:t xml:space="preserve">must </w:t>
      </w:r>
      <w:r w:rsidR="00B4239C" w:rsidRPr="0003653F">
        <w:rPr>
          <w:rFonts w:cs="Arial"/>
          <w:szCs w:val="20"/>
        </w:rPr>
        <w:t>be included.</w:t>
      </w:r>
    </w:p>
    <w:p w14:paraId="704D8063" w14:textId="7C3A5530" w:rsidR="00736967" w:rsidRPr="0003653F" w:rsidRDefault="00743CB2">
      <w:pPr>
        <w:pStyle w:val="BlockNumber"/>
        <w:ind w:left="1587" w:hanging="873"/>
        <w:rPr>
          <w:rFonts w:cs="Arial"/>
          <w:szCs w:val="20"/>
          <w:lang w:val="en-NZ"/>
        </w:rPr>
      </w:pPr>
      <w:r w:rsidRPr="0003653F">
        <w:rPr>
          <w:rFonts w:cs="Arial"/>
          <w:szCs w:val="20"/>
          <w:lang w:val="en-NZ"/>
        </w:rPr>
        <w:t xml:space="preserve">The </w:t>
      </w:r>
      <w:r w:rsidR="005C35A7">
        <w:rPr>
          <w:rFonts w:cs="Arial"/>
          <w:szCs w:val="20"/>
          <w:lang w:val="en-NZ"/>
        </w:rPr>
        <w:t>Academic Manager</w:t>
      </w:r>
      <w:r w:rsidR="005F4880">
        <w:rPr>
          <w:rFonts w:cs="Arial"/>
          <w:szCs w:val="20"/>
          <w:lang w:val="en-NZ"/>
        </w:rPr>
        <w:t xml:space="preserve"> or their specified delegate </w:t>
      </w:r>
      <w:r w:rsidRPr="0003653F">
        <w:rPr>
          <w:rFonts w:cs="Arial"/>
          <w:szCs w:val="20"/>
          <w:lang w:val="en-NZ"/>
        </w:rPr>
        <w:t xml:space="preserve">shall determine whether </w:t>
      </w:r>
      <w:r w:rsidR="006A2C2C" w:rsidRPr="0003653F">
        <w:rPr>
          <w:rFonts w:cs="Arial"/>
          <w:szCs w:val="20"/>
          <w:lang w:val="en-NZ"/>
        </w:rPr>
        <w:t>application</w:t>
      </w:r>
      <w:r w:rsidR="00BD6F7F" w:rsidRPr="0003653F">
        <w:rPr>
          <w:rFonts w:cs="Arial"/>
          <w:szCs w:val="20"/>
          <w:lang w:val="en-NZ"/>
        </w:rPr>
        <w:t>s to be considered</w:t>
      </w:r>
      <w:r w:rsidR="006A2C2C" w:rsidRPr="0003653F">
        <w:rPr>
          <w:rFonts w:cs="Arial"/>
          <w:szCs w:val="20"/>
          <w:lang w:val="en-NZ"/>
        </w:rPr>
        <w:t xml:space="preserve"> for an aegrotat pass</w:t>
      </w:r>
      <w:r w:rsidRPr="0003653F">
        <w:rPr>
          <w:rFonts w:cs="Arial"/>
          <w:szCs w:val="20"/>
          <w:lang w:val="en-NZ"/>
        </w:rPr>
        <w:t xml:space="preserve"> </w:t>
      </w:r>
      <w:r w:rsidR="00BD6F7F" w:rsidRPr="0003653F">
        <w:rPr>
          <w:rFonts w:cs="Arial"/>
          <w:szCs w:val="20"/>
          <w:lang w:val="en-NZ"/>
        </w:rPr>
        <w:t>are</w:t>
      </w:r>
      <w:r w:rsidRPr="0003653F">
        <w:rPr>
          <w:rFonts w:cs="Arial"/>
          <w:szCs w:val="20"/>
          <w:lang w:val="en-NZ"/>
        </w:rPr>
        <w:t xml:space="preserve"> accepted</w:t>
      </w:r>
      <w:r w:rsidR="005F4880">
        <w:rPr>
          <w:rFonts w:cs="Arial"/>
          <w:szCs w:val="20"/>
          <w:lang w:val="en-NZ"/>
        </w:rPr>
        <w:t xml:space="preserve"> for consideration</w:t>
      </w:r>
      <w:r w:rsidRPr="0003653F">
        <w:rPr>
          <w:rFonts w:cs="Arial"/>
          <w:szCs w:val="20"/>
          <w:lang w:val="en-NZ"/>
        </w:rPr>
        <w:t xml:space="preserve">.  </w:t>
      </w:r>
      <w:r w:rsidR="00893B2F">
        <w:rPr>
          <w:rFonts w:cs="Arial"/>
          <w:szCs w:val="20"/>
          <w:lang w:val="en-NZ"/>
        </w:rPr>
        <w:t>Learner</w:t>
      </w:r>
      <w:r w:rsidR="00D72A1B" w:rsidRPr="0003653F">
        <w:rPr>
          <w:rFonts w:cs="Arial"/>
          <w:szCs w:val="20"/>
          <w:lang w:val="en-NZ"/>
        </w:rPr>
        <w:t xml:space="preserve">s </w:t>
      </w:r>
      <w:r w:rsidR="00B67CF9" w:rsidRPr="0003653F">
        <w:rPr>
          <w:rFonts w:cs="Arial"/>
          <w:szCs w:val="20"/>
          <w:lang w:val="en-NZ"/>
        </w:rPr>
        <w:t>shall</w:t>
      </w:r>
      <w:r w:rsidR="00D72A1B" w:rsidRPr="0003653F">
        <w:rPr>
          <w:rFonts w:cs="Arial"/>
          <w:szCs w:val="20"/>
          <w:lang w:val="en-NZ"/>
        </w:rPr>
        <w:t xml:space="preserve"> be notified within five working days whether their application has been accepted</w:t>
      </w:r>
      <w:r w:rsidR="005F4880">
        <w:rPr>
          <w:rFonts w:cs="Arial"/>
          <w:szCs w:val="20"/>
          <w:lang w:val="en-NZ"/>
        </w:rPr>
        <w:t xml:space="preserve"> for consideration</w:t>
      </w:r>
      <w:r w:rsidR="00D72A1B" w:rsidRPr="0003653F">
        <w:rPr>
          <w:rFonts w:cs="Arial"/>
          <w:szCs w:val="20"/>
          <w:lang w:val="en-NZ"/>
        </w:rPr>
        <w:t>.</w:t>
      </w:r>
      <w:r w:rsidR="00BD6F7F" w:rsidRPr="0003653F">
        <w:rPr>
          <w:rFonts w:cs="Arial"/>
          <w:szCs w:val="20"/>
          <w:lang w:val="en-NZ"/>
        </w:rPr>
        <w:t xml:space="preserve"> </w:t>
      </w:r>
      <w:r w:rsidR="00D72A1B" w:rsidRPr="0003653F">
        <w:rPr>
          <w:rFonts w:cs="Arial"/>
          <w:szCs w:val="20"/>
          <w:lang w:val="en-NZ"/>
        </w:rPr>
        <w:t xml:space="preserve"> Aegrotat decisions are made </w:t>
      </w:r>
      <w:r w:rsidR="00BD6F7F" w:rsidRPr="0003653F">
        <w:rPr>
          <w:rFonts w:cs="Arial"/>
          <w:szCs w:val="20"/>
          <w:lang w:val="en-NZ"/>
        </w:rPr>
        <w:t xml:space="preserve">by the </w:t>
      </w:r>
      <w:r w:rsidR="00FE4857" w:rsidRPr="0003653F">
        <w:rPr>
          <w:rFonts w:cs="Arial"/>
          <w:szCs w:val="20"/>
          <w:lang w:val="en-NZ"/>
        </w:rPr>
        <w:t xml:space="preserve">Academic </w:t>
      </w:r>
      <w:r w:rsidR="006F08CE" w:rsidRPr="0003653F">
        <w:rPr>
          <w:rFonts w:cs="Arial"/>
          <w:szCs w:val="20"/>
          <w:lang w:val="en-NZ"/>
        </w:rPr>
        <w:t>Committee</w:t>
      </w:r>
      <w:r w:rsidR="00BD6F7F" w:rsidRPr="0003653F">
        <w:rPr>
          <w:rFonts w:cs="Arial"/>
          <w:szCs w:val="20"/>
          <w:lang w:val="en-NZ"/>
        </w:rPr>
        <w:t xml:space="preserve"> </w:t>
      </w:r>
      <w:r w:rsidR="00D72A1B" w:rsidRPr="0003653F">
        <w:rPr>
          <w:rFonts w:cs="Arial"/>
          <w:szCs w:val="20"/>
          <w:lang w:val="en-NZ"/>
        </w:rPr>
        <w:t xml:space="preserve">at the end of the course when all other </w:t>
      </w:r>
      <w:r w:rsidR="00E16BCA" w:rsidRPr="0003653F">
        <w:rPr>
          <w:rFonts w:cs="Arial"/>
          <w:szCs w:val="20"/>
          <w:lang w:val="en-NZ"/>
        </w:rPr>
        <w:t xml:space="preserve">summative </w:t>
      </w:r>
      <w:r w:rsidR="00D72A1B" w:rsidRPr="0003653F">
        <w:rPr>
          <w:rFonts w:cs="Arial"/>
          <w:szCs w:val="20"/>
          <w:lang w:val="en-NZ"/>
        </w:rPr>
        <w:t xml:space="preserve">assessments have been completed and are considered only if </w:t>
      </w:r>
      <w:r w:rsidR="00893B2F">
        <w:rPr>
          <w:rFonts w:cs="Arial"/>
          <w:szCs w:val="20"/>
          <w:lang w:val="en-NZ"/>
        </w:rPr>
        <w:t>learner</w:t>
      </w:r>
      <w:r w:rsidR="00D72A1B" w:rsidRPr="0003653F">
        <w:rPr>
          <w:rFonts w:cs="Arial"/>
          <w:szCs w:val="20"/>
          <w:lang w:val="en-NZ"/>
        </w:rPr>
        <w:t>s have failed the course.</w:t>
      </w:r>
    </w:p>
    <w:p w14:paraId="684336EC" w14:textId="7E4F0C7A" w:rsidR="00736967" w:rsidRPr="0003653F" w:rsidRDefault="00D72A1B">
      <w:pPr>
        <w:pStyle w:val="BlockNumber"/>
        <w:ind w:left="1587" w:hanging="873"/>
        <w:rPr>
          <w:rFonts w:cs="Arial"/>
          <w:szCs w:val="20"/>
          <w:lang w:val="en-NZ"/>
        </w:rPr>
      </w:pPr>
      <w:r w:rsidRPr="0003653F">
        <w:rPr>
          <w:rFonts w:cs="Arial"/>
          <w:szCs w:val="20"/>
          <w:lang w:val="en-NZ"/>
        </w:rPr>
        <w:t xml:space="preserve">The </w:t>
      </w:r>
      <w:r w:rsidR="00FE4857" w:rsidRPr="0003653F">
        <w:rPr>
          <w:rFonts w:cs="Arial"/>
          <w:szCs w:val="20"/>
          <w:lang w:val="en-NZ"/>
        </w:rPr>
        <w:t xml:space="preserve">Academic </w:t>
      </w:r>
      <w:r w:rsidR="006F08CE" w:rsidRPr="0003653F">
        <w:rPr>
          <w:rFonts w:cs="Arial"/>
          <w:szCs w:val="20"/>
          <w:lang w:val="en-NZ"/>
        </w:rPr>
        <w:t>Committee</w:t>
      </w:r>
      <w:r w:rsidRPr="0003653F">
        <w:rPr>
          <w:rFonts w:cs="Arial"/>
          <w:szCs w:val="20"/>
          <w:lang w:val="en-NZ"/>
        </w:rPr>
        <w:t xml:space="preserve"> </w:t>
      </w:r>
      <w:r w:rsidR="00B67CF9" w:rsidRPr="0003653F">
        <w:rPr>
          <w:rFonts w:cs="Arial"/>
          <w:szCs w:val="20"/>
          <w:lang w:val="en-NZ"/>
        </w:rPr>
        <w:t>shall</w:t>
      </w:r>
      <w:r w:rsidR="00BD6F7F" w:rsidRPr="0003653F">
        <w:rPr>
          <w:rFonts w:cs="Arial"/>
          <w:szCs w:val="20"/>
          <w:lang w:val="en-NZ"/>
        </w:rPr>
        <w:t xml:space="preserve"> </w:t>
      </w:r>
      <w:r w:rsidRPr="0003653F">
        <w:rPr>
          <w:rFonts w:cs="Arial"/>
          <w:szCs w:val="20"/>
          <w:lang w:val="en-NZ"/>
        </w:rPr>
        <w:t xml:space="preserve">grant an </w:t>
      </w:r>
      <w:r w:rsidR="00DE1DFC" w:rsidRPr="0003653F">
        <w:rPr>
          <w:rFonts w:cs="Arial"/>
          <w:szCs w:val="20"/>
          <w:lang w:val="en-NZ"/>
        </w:rPr>
        <w:t>aegrotat pass</w:t>
      </w:r>
      <w:r w:rsidR="00BD6F7F" w:rsidRPr="0003653F">
        <w:rPr>
          <w:rFonts w:cs="Arial"/>
          <w:szCs w:val="20"/>
          <w:lang w:val="en-NZ"/>
        </w:rPr>
        <w:t>, at its discretion,</w:t>
      </w:r>
      <w:r w:rsidR="00DE1DFC" w:rsidRPr="0003653F">
        <w:rPr>
          <w:rFonts w:cs="Arial"/>
          <w:szCs w:val="20"/>
          <w:lang w:val="en-NZ"/>
        </w:rPr>
        <w:t xml:space="preserve"> </w:t>
      </w:r>
      <w:r w:rsidRPr="0003653F">
        <w:rPr>
          <w:rFonts w:cs="Arial"/>
          <w:szCs w:val="20"/>
          <w:lang w:val="en-NZ"/>
        </w:rPr>
        <w:t>only if</w:t>
      </w:r>
      <w:r w:rsidR="002406E6" w:rsidRPr="0003653F">
        <w:rPr>
          <w:rFonts w:cs="Arial"/>
          <w:szCs w:val="20"/>
          <w:lang w:val="en-NZ"/>
        </w:rPr>
        <w:t xml:space="preserve"> </w:t>
      </w:r>
      <w:r w:rsidRPr="0003653F">
        <w:rPr>
          <w:rFonts w:cs="Arial"/>
          <w:szCs w:val="20"/>
          <w:lang w:val="en-NZ"/>
        </w:rPr>
        <w:t xml:space="preserve">it is satisfied </w:t>
      </w:r>
      <w:r w:rsidR="00BD6F7F" w:rsidRPr="0003653F">
        <w:rPr>
          <w:rFonts w:cs="Arial"/>
          <w:szCs w:val="20"/>
          <w:lang w:val="en-NZ"/>
        </w:rPr>
        <w:t xml:space="preserve">that a </w:t>
      </w:r>
      <w:r w:rsidR="00893B2F">
        <w:rPr>
          <w:rFonts w:cs="Arial"/>
          <w:szCs w:val="20"/>
          <w:lang w:val="en-NZ"/>
        </w:rPr>
        <w:t>learner</w:t>
      </w:r>
      <w:r w:rsidRPr="0003653F">
        <w:rPr>
          <w:rFonts w:cs="Arial"/>
          <w:szCs w:val="20"/>
          <w:lang w:val="en-NZ"/>
        </w:rPr>
        <w:t xml:space="preserve"> would have passed the course were it not for the </w:t>
      </w:r>
      <w:r w:rsidR="00C67A65" w:rsidRPr="0003653F">
        <w:rPr>
          <w:rFonts w:cs="Arial"/>
          <w:szCs w:val="20"/>
          <w:lang w:val="en-NZ"/>
        </w:rPr>
        <w:t>illness, injury</w:t>
      </w:r>
      <w:r w:rsidR="00D51733" w:rsidRPr="0003653F">
        <w:rPr>
          <w:rFonts w:cs="Arial"/>
          <w:szCs w:val="20"/>
          <w:lang w:val="en-NZ"/>
        </w:rPr>
        <w:t xml:space="preserve">, </w:t>
      </w:r>
      <w:proofErr w:type="gramStart"/>
      <w:r w:rsidR="00D51733" w:rsidRPr="0003653F">
        <w:rPr>
          <w:rFonts w:cs="Arial"/>
          <w:szCs w:val="20"/>
          <w:lang w:val="en-NZ"/>
        </w:rPr>
        <w:t>bereavement</w:t>
      </w:r>
      <w:proofErr w:type="gramEnd"/>
      <w:r w:rsidR="00D51733" w:rsidRPr="0003653F">
        <w:rPr>
          <w:rFonts w:cs="Arial"/>
          <w:szCs w:val="20"/>
          <w:lang w:val="en-NZ"/>
        </w:rPr>
        <w:t xml:space="preserve"> </w:t>
      </w:r>
      <w:r w:rsidR="00C67A65" w:rsidRPr="0003653F">
        <w:rPr>
          <w:rFonts w:cs="Arial"/>
          <w:szCs w:val="20"/>
          <w:lang w:val="en-NZ"/>
        </w:rPr>
        <w:t>or other exceptional circumstance</w:t>
      </w:r>
      <w:r w:rsidRPr="0003653F">
        <w:rPr>
          <w:rFonts w:cs="Arial"/>
          <w:szCs w:val="20"/>
          <w:lang w:val="en-NZ"/>
        </w:rPr>
        <w:t xml:space="preserve">. </w:t>
      </w:r>
    </w:p>
    <w:p w14:paraId="759ED75E" w14:textId="77777777" w:rsidR="00736967" w:rsidRPr="0003653F" w:rsidRDefault="00D72A1B" w:rsidP="00660169">
      <w:pPr>
        <w:pStyle w:val="BlockNumber"/>
        <w:spacing w:after="80"/>
        <w:ind w:left="1587" w:hanging="873"/>
        <w:rPr>
          <w:rFonts w:cs="Arial"/>
          <w:szCs w:val="20"/>
          <w:lang w:val="en-NZ"/>
        </w:rPr>
      </w:pPr>
      <w:r w:rsidRPr="0003653F">
        <w:rPr>
          <w:rFonts w:cs="Arial"/>
          <w:szCs w:val="20"/>
          <w:lang w:val="en-NZ"/>
        </w:rPr>
        <w:t>The following provisions apply when granting an aegrotat</w:t>
      </w:r>
      <w:r w:rsidR="007E6CB8" w:rsidRPr="0003653F">
        <w:rPr>
          <w:rFonts w:cs="Arial"/>
          <w:szCs w:val="20"/>
          <w:lang w:val="en-NZ"/>
        </w:rPr>
        <w:t xml:space="preserve"> pass</w:t>
      </w:r>
      <w:r w:rsidRPr="0003653F">
        <w:rPr>
          <w:rFonts w:cs="Arial"/>
          <w:szCs w:val="20"/>
          <w:lang w:val="en-NZ"/>
        </w:rPr>
        <w:t>:</w:t>
      </w:r>
    </w:p>
    <w:p w14:paraId="69B936F8" w14:textId="77777777" w:rsidR="00736967" w:rsidRPr="0003653F" w:rsidRDefault="00D72A1B" w:rsidP="00135CF0">
      <w:pPr>
        <w:pStyle w:val="Bullet1"/>
        <w:tabs>
          <w:tab w:val="clear" w:pos="1494"/>
        </w:tabs>
        <w:ind w:left="2127" w:hanging="426"/>
        <w:rPr>
          <w:rFonts w:cs="Arial"/>
          <w:lang w:val="en-NZ"/>
        </w:rPr>
      </w:pPr>
      <w:r w:rsidRPr="0003653F">
        <w:rPr>
          <w:rFonts w:cs="Arial"/>
          <w:lang w:val="en-NZ"/>
        </w:rPr>
        <w:t>An aegrotat</w:t>
      </w:r>
      <w:r w:rsidR="007E6CB8" w:rsidRPr="0003653F">
        <w:rPr>
          <w:rFonts w:cs="Arial"/>
          <w:lang w:val="en-NZ"/>
        </w:rPr>
        <w:t xml:space="preserve"> </w:t>
      </w:r>
      <w:r w:rsidRPr="0003653F">
        <w:rPr>
          <w:rFonts w:cs="Arial"/>
          <w:lang w:val="en-NZ"/>
        </w:rPr>
        <w:t xml:space="preserve">can </w:t>
      </w:r>
      <w:r w:rsidR="00DE1DFC" w:rsidRPr="0003653F">
        <w:rPr>
          <w:rFonts w:cs="Arial"/>
          <w:lang w:val="en-NZ"/>
        </w:rPr>
        <w:t xml:space="preserve">only </w:t>
      </w:r>
      <w:r w:rsidRPr="0003653F">
        <w:rPr>
          <w:rFonts w:cs="Arial"/>
          <w:lang w:val="en-NZ"/>
        </w:rPr>
        <w:t xml:space="preserve">be used for one </w:t>
      </w:r>
      <w:r w:rsidR="00E16BCA" w:rsidRPr="0003653F">
        <w:rPr>
          <w:rFonts w:cs="Arial"/>
          <w:lang w:val="en-NZ"/>
        </w:rPr>
        <w:t xml:space="preserve">summative </w:t>
      </w:r>
      <w:r w:rsidRPr="0003653F">
        <w:rPr>
          <w:rFonts w:cs="Arial"/>
          <w:lang w:val="en-NZ"/>
        </w:rPr>
        <w:t xml:space="preserve">assessment in each </w:t>
      </w:r>
      <w:proofErr w:type="gramStart"/>
      <w:r w:rsidRPr="0003653F">
        <w:rPr>
          <w:rFonts w:cs="Arial"/>
          <w:lang w:val="en-NZ"/>
        </w:rPr>
        <w:t>course;</w:t>
      </w:r>
      <w:proofErr w:type="gramEnd"/>
    </w:p>
    <w:p w14:paraId="017EB1D2" w14:textId="13295C50" w:rsidR="00736967" w:rsidRPr="0003653F" w:rsidRDefault="00D72A1B" w:rsidP="00135CF0">
      <w:pPr>
        <w:pStyle w:val="Bullet1"/>
        <w:tabs>
          <w:tab w:val="clear" w:pos="1494"/>
        </w:tabs>
        <w:ind w:left="2127" w:hanging="426"/>
        <w:rPr>
          <w:rFonts w:cs="Arial"/>
          <w:lang w:val="en-NZ"/>
        </w:rPr>
      </w:pPr>
      <w:r w:rsidRPr="0003653F">
        <w:rPr>
          <w:rFonts w:cs="Arial"/>
          <w:lang w:val="en-NZ"/>
        </w:rPr>
        <w:t xml:space="preserve">An aegrotat pass can only be </w:t>
      </w:r>
      <w:r w:rsidR="00DE1DFC" w:rsidRPr="0003653F">
        <w:rPr>
          <w:rFonts w:cs="Arial"/>
          <w:lang w:val="en-NZ"/>
        </w:rPr>
        <w:t xml:space="preserve">granted </w:t>
      </w:r>
      <w:r w:rsidRPr="0003653F">
        <w:rPr>
          <w:rFonts w:cs="Arial"/>
          <w:lang w:val="en-NZ"/>
        </w:rPr>
        <w:t xml:space="preserve">in a course where there is more than one </w:t>
      </w:r>
      <w:r w:rsidR="00E16BCA" w:rsidRPr="0003653F">
        <w:rPr>
          <w:rFonts w:cs="Arial"/>
          <w:lang w:val="en-NZ"/>
        </w:rPr>
        <w:t xml:space="preserve">summative </w:t>
      </w:r>
      <w:r w:rsidRPr="0003653F">
        <w:rPr>
          <w:rFonts w:cs="Arial"/>
          <w:lang w:val="en-NZ"/>
        </w:rPr>
        <w:t xml:space="preserve">assessment and </w:t>
      </w:r>
      <w:r w:rsidR="00893B2F">
        <w:rPr>
          <w:rFonts w:cs="Arial"/>
          <w:lang w:val="en-NZ"/>
        </w:rPr>
        <w:t>learner</w:t>
      </w:r>
      <w:r w:rsidRPr="0003653F">
        <w:rPr>
          <w:rFonts w:cs="Arial"/>
          <w:lang w:val="en-NZ"/>
        </w:rPr>
        <w:t xml:space="preserve">s have met all other </w:t>
      </w:r>
      <w:r w:rsidR="00E16BCA" w:rsidRPr="0003653F">
        <w:rPr>
          <w:rFonts w:cs="Arial"/>
          <w:lang w:val="en-NZ"/>
        </w:rPr>
        <w:t xml:space="preserve">summative </w:t>
      </w:r>
      <w:r w:rsidRPr="0003653F">
        <w:rPr>
          <w:rFonts w:cs="Arial"/>
          <w:lang w:val="en-NZ"/>
        </w:rPr>
        <w:t>assessment requirements;</w:t>
      </w:r>
      <w:r w:rsidR="00B548B7" w:rsidRPr="0003653F">
        <w:rPr>
          <w:rFonts w:cs="Arial"/>
          <w:lang w:val="en-NZ"/>
        </w:rPr>
        <w:t xml:space="preserve"> and</w:t>
      </w:r>
    </w:p>
    <w:p w14:paraId="74788413" w14:textId="77777777" w:rsidR="009F1F75" w:rsidRPr="0003653F" w:rsidRDefault="00D72A1B" w:rsidP="009F1F75">
      <w:pPr>
        <w:pStyle w:val="Bullet1"/>
        <w:tabs>
          <w:tab w:val="clear" w:pos="1494"/>
        </w:tabs>
        <w:ind w:left="2127" w:hanging="426"/>
        <w:rPr>
          <w:rFonts w:cs="Arial"/>
          <w:lang w:val="en-NZ"/>
        </w:rPr>
      </w:pPr>
      <w:r w:rsidRPr="0003653F">
        <w:rPr>
          <w:rFonts w:cs="Arial"/>
          <w:lang w:val="en-NZ"/>
        </w:rPr>
        <w:t xml:space="preserve">In determining whether to </w:t>
      </w:r>
      <w:r w:rsidR="00DE1DFC" w:rsidRPr="0003653F">
        <w:rPr>
          <w:rFonts w:cs="Arial"/>
          <w:lang w:val="en-NZ"/>
        </w:rPr>
        <w:t xml:space="preserve">grant </w:t>
      </w:r>
      <w:r w:rsidRPr="0003653F">
        <w:rPr>
          <w:rFonts w:cs="Arial"/>
          <w:lang w:val="en-NZ"/>
        </w:rPr>
        <w:t>an aegrotat pass, only the results of the course for which the aegrotat has been applied</w:t>
      </w:r>
      <w:r w:rsidR="006F6AED" w:rsidRPr="0003653F">
        <w:rPr>
          <w:rFonts w:cs="Arial"/>
          <w:lang w:val="en-NZ"/>
        </w:rPr>
        <w:t xml:space="preserve"> </w:t>
      </w:r>
      <w:r w:rsidRPr="0003653F">
        <w:rPr>
          <w:rFonts w:cs="Arial"/>
          <w:lang w:val="en-NZ"/>
        </w:rPr>
        <w:t>shall be considered</w:t>
      </w:r>
      <w:r w:rsidR="001846CD" w:rsidRPr="0003653F">
        <w:rPr>
          <w:rFonts w:cs="Arial"/>
          <w:lang w:val="en-NZ"/>
        </w:rPr>
        <w:t>.</w:t>
      </w:r>
    </w:p>
    <w:p w14:paraId="4E6FD559" w14:textId="576D76FB" w:rsidR="002E0CB9" w:rsidRPr="0003653F" w:rsidRDefault="009F1F75" w:rsidP="009F1F75">
      <w:pPr>
        <w:pStyle w:val="BlockNumber"/>
        <w:ind w:left="1587" w:hanging="873"/>
        <w:rPr>
          <w:rFonts w:cs="Arial"/>
          <w:szCs w:val="20"/>
        </w:rPr>
      </w:pPr>
      <w:r w:rsidRPr="0003653F">
        <w:rPr>
          <w:rFonts w:cs="Arial"/>
          <w:szCs w:val="20"/>
        </w:rPr>
        <w:t xml:space="preserve">Where </w:t>
      </w:r>
      <w:r w:rsidR="00893B2F">
        <w:rPr>
          <w:rFonts w:cs="Arial"/>
          <w:szCs w:val="20"/>
        </w:rPr>
        <w:t>learner</w:t>
      </w:r>
      <w:r w:rsidRPr="0003653F">
        <w:rPr>
          <w:rFonts w:cs="Arial"/>
          <w:szCs w:val="20"/>
        </w:rPr>
        <w:t xml:space="preserve">s are granted an </w:t>
      </w:r>
      <w:proofErr w:type="spellStart"/>
      <w:r w:rsidRPr="0003653F">
        <w:rPr>
          <w:rFonts w:cs="Arial"/>
          <w:szCs w:val="20"/>
        </w:rPr>
        <w:t>aegrotat</w:t>
      </w:r>
      <w:proofErr w:type="spellEnd"/>
      <w:r w:rsidRPr="0003653F">
        <w:rPr>
          <w:rFonts w:cs="Arial"/>
          <w:szCs w:val="20"/>
        </w:rPr>
        <w:t xml:space="preserve"> pass, the grade recorded on their academic transcript </w:t>
      </w:r>
      <w:r w:rsidR="00A24CFA" w:rsidRPr="0003653F">
        <w:rPr>
          <w:rFonts w:cs="Arial"/>
          <w:szCs w:val="20"/>
        </w:rPr>
        <w:t>shall</w:t>
      </w:r>
      <w:r w:rsidRPr="0003653F">
        <w:rPr>
          <w:rFonts w:cs="Arial"/>
          <w:szCs w:val="20"/>
        </w:rPr>
        <w:t xml:space="preserve"> be an AP (</w:t>
      </w:r>
      <w:proofErr w:type="spellStart"/>
      <w:r w:rsidR="00567633" w:rsidRPr="0003653F">
        <w:rPr>
          <w:rFonts w:cs="Arial"/>
          <w:szCs w:val="20"/>
        </w:rPr>
        <w:t>a</w:t>
      </w:r>
      <w:r w:rsidRPr="0003653F">
        <w:rPr>
          <w:rFonts w:cs="Arial"/>
          <w:szCs w:val="20"/>
        </w:rPr>
        <w:t>egrotat</w:t>
      </w:r>
      <w:proofErr w:type="spellEnd"/>
      <w:r w:rsidRPr="0003653F">
        <w:rPr>
          <w:rFonts w:cs="Arial"/>
          <w:szCs w:val="20"/>
        </w:rPr>
        <w:t xml:space="preserve"> </w:t>
      </w:r>
      <w:r w:rsidR="00567633" w:rsidRPr="0003653F">
        <w:rPr>
          <w:rFonts w:cs="Arial"/>
          <w:szCs w:val="20"/>
        </w:rPr>
        <w:t>pass</w:t>
      </w:r>
      <w:r w:rsidRPr="0003653F">
        <w:rPr>
          <w:rFonts w:cs="Arial"/>
          <w:szCs w:val="20"/>
        </w:rPr>
        <w:t>).</w:t>
      </w:r>
    </w:p>
    <w:p w14:paraId="335893DF" w14:textId="7D190AF0" w:rsidR="009F1F75" w:rsidRPr="0003653F" w:rsidRDefault="009F1F75" w:rsidP="002E0CB9">
      <w:pPr>
        <w:pStyle w:val="BlockNumber"/>
        <w:ind w:left="1587" w:hanging="873"/>
        <w:rPr>
          <w:rFonts w:cs="Arial"/>
          <w:szCs w:val="20"/>
          <w:lang w:val="en-NZ"/>
        </w:rPr>
      </w:pPr>
      <w:r w:rsidRPr="0003653F">
        <w:rPr>
          <w:rFonts w:cs="Arial"/>
          <w:szCs w:val="20"/>
        </w:rPr>
        <w:t xml:space="preserve">Where </w:t>
      </w:r>
      <w:r w:rsidR="00893B2F">
        <w:rPr>
          <w:rFonts w:cs="Arial"/>
          <w:szCs w:val="20"/>
        </w:rPr>
        <w:t>learner</w:t>
      </w:r>
      <w:r w:rsidRPr="0003653F">
        <w:rPr>
          <w:rFonts w:cs="Arial"/>
          <w:szCs w:val="20"/>
        </w:rPr>
        <w:t xml:space="preserve">s are declined an </w:t>
      </w:r>
      <w:proofErr w:type="spellStart"/>
      <w:r w:rsidRPr="0003653F">
        <w:rPr>
          <w:rFonts w:cs="Arial"/>
          <w:szCs w:val="20"/>
        </w:rPr>
        <w:t>aegrotat</w:t>
      </w:r>
      <w:proofErr w:type="spellEnd"/>
      <w:r w:rsidRPr="0003653F">
        <w:rPr>
          <w:rFonts w:cs="Arial"/>
          <w:szCs w:val="20"/>
        </w:rPr>
        <w:t xml:space="preserve"> pass, the actual grade achieved </w:t>
      </w:r>
      <w:r w:rsidR="00A24CFA" w:rsidRPr="0003653F">
        <w:rPr>
          <w:rFonts w:cs="Arial"/>
          <w:szCs w:val="20"/>
        </w:rPr>
        <w:t>shall</w:t>
      </w:r>
      <w:r w:rsidRPr="0003653F">
        <w:rPr>
          <w:rFonts w:cs="Arial"/>
          <w:szCs w:val="20"/>
        </w:rPr>
        <w:t xml:space="preserve"> be recorded on their academic transcript.  </w:t>
      </w:r>
    </w:p>
    <w:p w14:paraId="682D9200" w14:textId="722A65CA" w:rsidR="00736967" w:rsidRPr="00032FAF" w:rsidRDefault="00D72A1B" w:rsidP="00660169">
      <w:pPr>
        <w:pStyle w:val="Heading2No"/>
        <w:spacing w:before="360"/>
        <w:rPr>
          <w:rFonts w:cs="Arial"/>
          <w:szCs w:val="20"/>
          <w:lang w:val="en-NZ"/>
        </w:rPr>
      </w:pPr>
      <w:r w:rsidRPr="00032FAF">
        <w:rPr>
          <w:rFonts w:cs="Arial"/>
          <w:szCs w:val="20"/>
          <w:lang w:val="en-NZ"/>
        </w:rPr>
        <w:t xml:space="preserve">Notification of </w:t>
      </w:r>
      <w:r w:rsidR="000E6E11" w:rsidRPr="00032FAF">
        <w:rPr>
          <w:rFonts w:cs="Arial"/>
          <w:szCs w:val="20"/>
          <w:lang w:val="en-NZ"/>
        </w:rPr>
        <w:t xml:space="preserve">final course </w:t>
      </w:r>
      <w:r w:rsidRPr="00032FAF">
        <w:rPr>
          <w:rFonts w:cs="Arial"/>
          <w:szCs w:val="20"/>
          <w:lang w:val="en-NZ"/>
        </w:rPr>
        <w:t>results</w:t>
      </w:r>
      <w:r w:rsidR="00003261">
        <w:rPr>
          <w:rFonts w:cs="Arial"/>
          <w:szCs w:val="20"/>
          <w:lang w:val="en-NZ"/>
        </w:rPr>
        <w:t xml:space="preserve"> </w:t>
      </w:r>
      <w:r w:rsidR="001913B0">
        <w:rPr>
          <w:rFonts w:cs="Arial"/>
          <w:szCs w:val="20"/>
          <w:lang w:val="en-NZ"/>
        </w:rPr>
        <w:t>and/or</w:t>
      </w:r>
      <w:r w:rsidR="00003261">
        <w:rPr>
          <w:rFonts w:cs="Arial"/>
          <w:szCs w:val="20"/>
          <w:lang w:val="en-NZ"/>
        </w:rPr>
        <w:t xml:space="preserve"> </w:t>
      </w:r>
      <w:r w:rsidR="001913B0">
        <w:rPr>
          <w:rFonts w:cs="Arial"/>
          <w:szCs w:val="20"/>
          <w:lang w:val="en-NZ"/>
        </w:rPr>
        <w:t xml:space="preserve">updating of NZQA Record of </w:t>
      </w:r>
      <w:r w:rsidR="00202430">
        <w:rPr>
          <w:rFonts w:cs="Arial"/>
          <w:szCs w:val="20"/>
          <w:lang w:val="en-NZ"/>
        </w:rPr>
        <w:t>Achievement</w:t>
      </w:r>
    </w:p>
    <w:p w14:paraId="3F5DD8B6" w14:textId="016C5B08" w:rsidR="00AC772A" w:rsidRDefault="00AC772A" w:rsidP="00862058">
      <w:pPr>
        <w:pStyle w:val="BlockNumber"/>
        <w:ind w:left="1587" w:hanging="873"/>
        <w:rPr>
          <w:rFonts w:cs="Arial"/>
          <w:szCs w:val="20"/>
          <w:lang w:val="en-NZ"/>
        </w:rPr>
      </w:pPr>
      <w:r>
        <w:rPr>
          <w:rFonts w:cs="Arial"/>
          <w:szCs w:val="20"/>
          <w:lang w:val="en-NZ"/>
        </w:rPr>
        <w:t xml:space="preserve">NQF Standards </w:t>
      </w:r>
      <w:r w:rsidR="00496E14">
        <w:rPr>
          <w:rFonts w:cs="Arial"/>
          <w:szCs w:val="20"/>
          <w:lang w:val="en-NZ"/>
        </w:rPr>
        <w:t xml:space="preserve">that have been completed will be reported to NZQA </w:t>
      </w:r>
      <w:r w:rsidR="00202430">
        <w:rPr>
          <w:rFonts w:cs="Arial"/>
          <w:szCs w:val="20"/>
          <w:lang w:val="en-NZ"/>
        </w:rPr>
        <w:t>within 10 days of completing all assessment requirements</w:t>
      </w:r>
      <w:r w:rsidR="00E25DC5">
        <w:rPr>
          <w:rFonts w:cs="Arial"/>
          <w:szCs w:val="20"/>
          <w:lang w:val="en-NZ"/>
        </w:rPr>
        <w:t>.</w:t>
      </w:r>
      <w:r w:rsidR="00496E14">
        <w:rPr>
          <w:rFonts w:cs="Arial"/>
          <w:szCs w:val="20"/>
          <w:lang w:val="en-NZ"/>
        </w:rPr>
        <w:t xml:space="preserve"> </w:t>
      </w:r>
    </w:p>
    <w:p w14:paraId="3651B8C3" w14:textId="067B32F0" w:rsidR="004632B0" w:rsidRDefault="003A5241" w:rsidP="00862058">
      <w:pPr>
        <w:pStyle w:val="BlockNumber"/>
        <w:ind w:left="1587" w:hanging="873"/>
        <w:rPr>
          <w:rFonts w:cs="Arial"/>
          <w:szCs w:val="20"/>
          <w:lang w:val="en-NZ"/>
        </w:rPr>
      </w:pPr>
      <w:r>
        <w:rPr>
          <w:rFonts w:cs="Arial"/>
          <w:szCs w:val="20"/>
          <w:lang w:val="en-NZ"/>
        </w:rPr>
        <w:t>Provisional c</w:t>
      </w:r>
      <w:r w:rsidR="006703B3" w:rsidRPr="0003653F">
        <w:rPr>
          <w:rFonts w:cs="Arial"/>
          <w:szCs w:val="20"/>
          <w:lang w:val="en-NZ"/>
        </w:rPr>
        <w:t xml:space="preserve">ourse results </w:t>
      </w:r>
      <w:r w:rsidR="00803340" w:rsidRPr="0003653F">
        <w:rPr>
          <w:rFonts w:cs="Arial"/>
          <w:szCs w:val="20"/>
          <w:lang w:val="en-NZ"/>
        </w:rPr>
        <w:t xml:space="preserve">shall </w:t>
      </w:r>
      <w:r w:rsidR="005F4880">
        <w:rPr>
          <w:rFonts w:cs="Arial"/>
          <w:szCs w:val="20"/>
          <w:lang w:val="en-NZ"/>
        </w:rPr>
        <w:t xml:space="preserve">generally </w:t>
      </w:r>
      <w:r w:rsidR="00803340" w:rsidRPr="0003653F">
        <w:rPr>
          <w:rFonts w:cs="Arial"/>
          <w:szCs w:val="20"/>
          <w:lang w:val="en-NZ"/>
        </w:rPr>
        <w:t xml:space="preserve">be </w:t>
      </w:r>
      <w:r>
        <w:rPr>
          <w:rFonts w:cs="Arial"/>
          <w:szCs w:val="20"/>
          <w:lang w:val="en-NZ"/>
        </w:rPr>
        <w:t xml:space="preserve">made available to </w:t>
      </w:r>
      <w:r w:rsidR="00893B2F">
        <w:rPr>
          <w:rFonts w:cs="Arial"/>
          <w:szCs w:val="20"/>
          <w:lang w:val="en-NZ"/>
        </w:rPr>
        <w:t>learner</w:t>
      </w:r>
      <w:r>
        <w:rPr>
          <w:rFonts w:cs="Arial"/>
          <w:szCs w:val="20"/>
          <w:lang w:val="en-NZ"/>
        </w:rPr>
        <w:t xml:space="preserve">s </w:t>
      </w:r>
      <w:bookmarkStart w:id="50" w:name="_Hlk504420392"/>
      <w:r>
        <w:rPr>
          <w:rFonts w:cs="Arial"/>
          <w:szCs w:val="20"/>
          <w:lang w:val="en-NZ"/>
        </w:rPr>
        <w:t>with</w:t>
      </w:r>
      <w:r w:rsidR="000E6E11" w:rsidRPr="0003653F">
        <w:rPr>
          <w:rFonts w:cs="Arial"/>
          <w:szCs w:val="20"/>
          <w:lang w:val="en-NZ"/>
        </w:rPr>
        <w:t xml:space="preserve">in ten working days </w:t>
      </w:r>
      <w:r w:rsidR="00803340" w:rsidRPr="0003653F">
        <w:rPr>
          <w:rFonts w:cs="Arial"/>
          <w:szCs w:val="20"/>
          <w:lang w:val="en-NZ"/>
        </w:rPr>
        <w:t xml:space="preserve">of the final </w:t>
      </w:r>
      <w:r w:rsidR="00803340" w:rsidRPr="0003653F">
        <w:rPr>
          <w:rFonts w:cs="Arial"/>
          <w:color w:val="auto"/>
          <w:szCs w:val="20"/>
        </w:rPr>
        <w:t>course completion date, the final course examination, or the last examination of a predetermined examination period</w:t>
      </w:r>
      <w:r w:rsidR="00DB5871" w:rsidRPr="0003653F">
        <w:rPr>
          <w:rFonts w:cs="Arial"/>
          <w:szCs w:val="20"/>
          <w:lang w:val="en-NZ"/>
        </w:rPr>
        <w:t xml:space="preserve"> unless otherwise approved by the </w:t>
      </w:r>
      <w:r w:rsidR="004863B3">
        <w:rPr>
          <w:rFonts w:cs="Arial"/>
          <w:szCs w:val="20"/>
          <w:lang w:val="en-NZ"/>
        </w:rPr>
        <w:t xml:space="preserve">Academic </w:t>
      </w:r>
      <w:r w:rsidR="00FC2C1D" w:rsidRPr="0003653F">
        <w:rPr>
          <w:rFonts w:cs="Arial"/>
          <w:szCs w:val="20"/>
          <w:lang w:val="en-NZ"/>
        </w:rPr>
        <w:t>Manager</w:t>
      </w:r>
      <w:r w:rsidR="00DB5871" w:rsidRPr="0003653F">
        <w:rPr>
          <w:rFonts w:cs="Arial"/>
          <w:szCs w:val="20"/>
          <w:lang w:val="en-NZ"/>
        </w:rPr>
        <w:t xml:space="preserve"> and notified in writing to the </w:t>
      </w:r>
      <w:r w:rsidR="00893B2F">
        <w:rPr>
          <w:rFonts w:cs="Arial"/>
          <w:szCs w:val="20"/>
          <w:lang w:val="en-NZ"/>
        </w:rPr>
        <w:t>learner</w:t>
      </w:r>
      <w:r w:rsidR="00DB5871" w:rsidRPr="0003653F">
        <w:rPr>
          <w:rFonts w:cs="Arial"/>
          <w:szCs w:val="20"/>
          <w:lang w:val="en-NZ"/>
        </w:rPr>
        <w:t>.</w:t>
      </w:r>
      <w:bookmarkEnd w:id="50"/>
      <w:r w:rsidR="00C920CD">
        <w:rPr>
          <w:rFonts w:cs="Arial"/>
          <w:szCs w:val="20"/>
          <w:lang w:val="en-NZ"/>
        </w:rPr>
        <w:t xml:space="preserve"> </w:t>
      </w:r>
    </w:p>
    <w:p w14:paraId="7829D0E7" w14:textId="4EEFCD0A" w:rsidR="003A5241" w:rsidRPr="0003653F" w:rsidRDefault="003A5241" w:rsidP="00862058">
      <w:pPr>
        <w:pStyle w:val="BlockNumber"/>
        <w:ind w:left="1587" w:hanging="873"/>
        <w:rPr>
          <w:rFonts w:cs="Arial"/>
          <w:szCs w:val="20"/>
          <w:lang w:val="en-NZ"/>
        </w:rPr>
      </w:pPr>
      <w:r>
        <w:rPr>
          <w:rFonts w:cs="Arial"/>
          <w:szCs w:val="20"/>
          <w:lang w:val="en-NZ"/>
        </w:rPr>
        <w:t xml:space="preserve">Final course results shall generally be issued to </w:t>
      </w:r>
      <w:r w:rsidR="00893B2F">
        <w:rPr>
          <w:rFonts w:cs="Arial"/>
          <w:szCs w:val="20"/>
          <w:lang w:val="en-NZ"/>
        </w:rPr>
        <w:t>learner</w:t>
      </w:r>
      <w:r>
        <w:rPr>
          <w:rFonts w:cs="Arial"/>
          <w:szCs w:val="20"/>
          <w:lang w:val="en-NZ"/>
        </w:rPr>
        <w:t xml:space="preserve">s and recorded in the </w:t>
      </w:r>
      <w:r w:rsidR="005C35A7">
        <w:rPr>
          <w:rFonts w:cs="Arial"/>
          <w:szCs w:val="20"/>
          <w:lang w:val="en-NZ"/>
        </w:rPr>
        <w:t xml:space="preserve">Student/Trainee </w:t>
      </w:r>
      <w:r>
        <w:rPr>
          <w:rFonts w:cs="Arial"/>
          <w:szCs w:val="20"/>
          <w:lang w:val="en-NZ"/>
        </w:rPr>
        <w:t xml:space="preserve">Management System following approval by the Academic </w:t>
      </w:r>
      <w:r w:rsidR="004863B3">
        <w:rPr>
          <w:rFonts w:cs="Arial"/>
          <w:szCs w:val="20"/>
          <w:lang w:val="en-NZ"/>
        </w:rPr>
        <w:t xml:space="preserve">Manager </w:t>
      </w:r>
      <w:r>
        <w:rPr>
          <w:rFonts w:cs="Arial"/>
          <w:szCs w:val="20"/>
          <w:lang w:val="en-NZ"/>
        </w:rPr>
        <w:t>with</w:t>
      </w:r>
      <w:r w:rsidRPr="0003653F">
        <w:rPr>
          <w:rFonts w:cs="Arial"/>
          <w:szCs w:val="20"/>
          <w:lang w:val="en-NZ"/>
        </w:rPr>
        <w:t>in t</w:t>
      </w:r>
      <w:r>
        <w:rPr>
          <w:rFonts w:cs="Arial"/>
          <w:szCs w:val="20"/>
          <w:lang w:val="en-NZ"/>
        </w:rPr>
        <w:t xml:space="preserve">wenty </w:t>
      </w:r>
      <w:r w:rsidRPr="0003653F">
        <w:rPr>
          <w:rFonts w:cs="Arial"/>
          <w:szCs w:val="20"/>
          <w:lang w:val="en-NZ"/>
        </w:rPr>
        <w:t xml:space="preserve">working days of the final </w:t>
      </w:r>
      <w:r w:rsidRPr="0003653F">
        <w:rPr>
          <w:rFonts w:cs="Arial"/>
          <w:color w:val="auto"/>
          <w:szCs w:val="20"/>
        </w:rPr>
        <w:t>course completion date, the final course examination, or the last examination of a predetermined examination period</w:t>
      </w:r>
      <w:r w:rsidRPr="0003653F">
        <w:rPr>
          <w:rFonts w:cs="Arial"/>
          <w:szCs w:val="20"/>
          <w:lang w:val="en-NZ"/>
        </w:rPr>
        <w:t xml:space="preserve"> unless otherwise approved by the </w:t>
      </w:r>
      <w:r w:rsidR="0012185B">
        <w:rPr>
          <w:rFonts w:cs="Arial"/>
          <w:szCs w:val="20"/>
          <w:lang w:val="en-NZ"/>
        </w:rPr>
        <w:t xml:space="preserve">PTE Manager </w:t>
      </w:r>
      <w:r w:rsidRPr="0003653F">
        <w:rPr>
          <w:rFonts w:cs="Arial"/>
          <w:szCs w:val="20"/>
          <w:lang w:val="en-NZ"/>
        </w:rPr>
        <w:t xml:space="preserve">and notified in writing to the </w:t>
      </w:r>
      <w:r w:rsidR="00893B2F">
        <w:rPr>
          <w:rFonts w:cs="Arial"/>
          <w:szCs w:val="20"/>
          <w:lang w:val="en-NZ"/>
        </w:rPr>
        <w:t>learner</w:t>
      </w:r>
      <w:r w:rsidRPr="0003653F">
        <w:rPr>
          <w:rFonts w:cs="Arial"/>
          <w:szCs w:val="20"/>
          <w:lang w:val="en-NZ"/>
        </w:rPr>
        <w:t>.</w:t>
      </w:r>
    </w:p>
    <w:p w14:paraId="7740135E" w14:textId="36A1244D" w:rsidR="006E0116" w:rsidRPr="0003653F" w:rsidRDefault="006703B3" w:rsidP="00660169">
      <w:pPr>
        <w:pStyle w:val="BlockNumber"/>
        <w:spacing w:after="80"/>
        <w:ind w:left="1587" w:hanging="873"/>
        <w:rPr>
          <w:rFonts w:cs="Arial"/>
          <w:szCs w:val="20"/>
          <w:lang w:val="en-NZ"/>
        </w:rPr>
      </w:pPr>
      <w:r w:rsidRPr="0003653F">
        <w:rPr>
          <w:rFonts w:cs="Arial"/>
          <w:szCs w:val="20"/>
          <w:lang w:val="en-NZ"/>
        </w:rPr>
        <w:t>Final course r</w:t>
      </w:r>
      <w:r w:rsidR="006E0116" w:rsidRPr="0003653F">
        <w:rPr>
          <w:rFonts w:cs="Arial"/>
          <w:szCs w:val="20"/>
          <w:lang w:val="en-NZ"/>
        </w:rPr>
        <w:t xml:space="preserve">esults notices </w:t>
      </w:r>
      <w:r w:rsidR="00B67CF9" w:rsidRPr="0003653F">
        <w:rPr>
          <w:rFonts w:cs="Arial"/>
          <w:szCs w:val="20"/>
          <w:lang w:val="en-NZ"/>
        </w:rPr>
        <w:t>shall</w:t>
      </w:r>
      <w:r w:rsidR="006E0116" w:rsidRPr="0003653F">
        <w:rPr>
          <w:rFonts w:cs="Arial"/>
          <w:szCs w:val="20"/>
          <w:lang w:val="en-NZ"/>
        </w:rPr>
        <w:t xml:space="preserve"> be issued </w:t>
      </w:r>
      <w:r w:rsidR="003C799F">
        <w:rPr>
          <w:rFonts w:cs="Arial"/>
          <w:szCs w:val="20"/>
          <w:lang w:val="en-NZ"/>
        </w:rPr>
        <w:t xml:space="preserve">and/or the completion of </w:t>
      </w:r>
      <w:r w:rsidR="006F4C17">
        <w:rPr>
          <w:rFonts w:cs="Arial"/>
          <w:szCs w:val="20"/>
          <w:lang w:val="en-NZ"/>
        </w:rPr>
        <w:t xml:space="preserve">NZQF </w:t>
      </w:r>
      <w:r w:rsidR="003C799F">
        <w:rPr>
          <w:rFonts w:cs="Arial"/>
          <w:szCs w:val="20"/>
          <w:lang w:val="en-NZ"/>
        </w:rPr>
        <w:t xml:space="preserve">Standards reported to NZQA </w:t>
      </w:r>
      <w:r w:rsidR="006E0116" w:rsidRPr="0003653F">
        <w:rPr>
          <w:rFonts w:cs="Arial"/>
          <w:szCs w:val="20"/>
          <w:lang w:val="en-NZ"/>
        </w:rPr>
        <w:t>only when they have paid their fees for that course</w:t>
      </w:r>
      <w:r w:rsidR="001F7FB7" w:rsidRPr="0003653F">
        <w:rPr>
          <w:rFonts w:cs="Arial"/>
          <w:szCs w:val="20"/>
          <w:lang w:val="en-NZ"/>
        </w:rPr>
        <w:t xml:space="preserve"> in full</w:t>
      </w:r>
      <w:r w:rsidR="006E0116" w:rsidRPr="0003653F">
        <w:rPr>
          <w:rFonts w:cs="Arial"/>
          <w:szCs w:val="20"/>
          <w:lang w:val="en-NZ"/>
        </w:rPr>
        <w:t>, including:</w:t>
      </w:r>
    </w:p>
    <w:p w14:paraId="7033FB40" w14:textId="77777777" w:rsidR="006E0116" w:rsidRPr="0003653F" w:rsidRDefault="006E0116" w:rsidP="00135CF0">
      <w:pPr>
        <w:pStyle w:val="Bullet1"/>
        <w:tabs>
          <w:tab w:val="clear" w:pos="1494"/>
        </w:tabs>
        <w:ind w:left="2127" w:hanging="426"/>
        <w:rPr>
          <w:rFonts w:cs="Arial"/>
          <w:lang w:val="en-NZ"/>
        </w:rPr>
      </w:pPr>
      <w:r w:rsidRPr="0003653F">
        <w:rPr>
          <w:rFonts w:cs="Arial"/>
          <w:lang w:val="en-NZ"/>
        </w:rPr>
        <w:t xml:space="preserve">Course tuition </w:t>
      </w:r>
      <w:proofErr w:type="gramStart"/>
      <w:r w:rsidRPr="0003653F">
        <w:rPr>
          <w:rFonts w:cs="Arial"/>
          <w:lang w:val="en-NZ"/>
        </w:rPr>
        <w:t>fees;</w:t>
      </w:r>
      <w:proofErr w:type="gramEnd"/>
    </w:p>
    <w:p w14:paraId="153ABB11" w14:textId="77777777" w:rsidR="006E0116" w:rsidRPr="0003653F" w:rsidRDefault="006E0116" w:rsidP="00135CF0">
      <w:pPr>
        <w:pStyle w:val="Bullet1"/>
        <w:tabs>
          <w:tab w:val="clear" w:pos="1494"/>
        </w:tabs>
        <w:ind w:left="2127" w:hanging="426"/>
        <w:rPr>
          <w:rFonts w:cs="Arial"/>
          <w:lang w:val="en-NZ"/>
        </w:rPr>
      </w:pPr>
      <w:r w:rsidRPr="0003653F">
        <w:rPr>
          <w:rFonts w:cs="Arial"/>
          <w:lang w:val="en-NZ"/>
        </w:rPr>
        <w:t xml:space="preserve">Compulsory non-tuition </w:t>
      </w:r>
      <w:proofErr w:type="gramStart"/>
      <w:r w:rsidRPr="0003653F">
        <w:rPr>
          <w:rFonts w:cs="Arial"/>
          <w:lang w:val="en-NZ"/>
        </w:rPr>
        <w:t>fees;</w:t>
      </w:r>
      <w:proofErr w:type="gramEnd"/>
      <w:r w:rsidRPr="0003653F">
        <w:rPr>
          <w:rFonts w:cs="Arial"/>
          <w:lang w:val="en-NZ"/>
        </w:rPr>
        <w:t xml:space="preserve"> </w:t>
      </w:r>
    </w:p>
    <w:p w14:paraId="0927358C" w14:textId="77777777" w:rsidR="006E0116" w:rsidRDefault="006E0116" w:rsidP="00135CF0">
      <w:pPr>
        <w:pStyle w:val="Bullet1"/>
        <w:tabs>
          <w:tab w:val="clear" w:pos="1494"/>
        </w:tabs>
        <w:ind w:left="2127" w:hanging="426"/>
        <w:rPr>
          <w:rFonts w:cs="Arial"/>
          <w:lang w:val="en-NZ"/>
        </w:rPr>
      </w:pPr>
      <w:r w:rsidRPr="0003653F">
        <w:rPr>
          <w:rFonts w:cs="Arial"/>
          <w:lang w:val="en-NZ"/>
        </w:rPr>
        <w:t>Compulsory assessment fees</w:t>
      </w:r>
      <w:r w:rsidR="00C819AB">
        <w:rPr>
          <w:rFonts w:cs="Arial"/>
          <w:lang w:val="en-NZ"/>
        </w:rPr>
        <w:t xml:space="preserve">; </w:t>
      </w:r>
      <w:r w:rsidR="00C819AB" w:rsidRPr="0003653F">
        <w:rPr>
          <w:rFonts w:cs="Arial"/>
          <w:lang w:val="en-NZ"/>
        </w:rPr>
        <w:t>and</w:t>
      </w:r>
    </w:p>
    <w:p w14:paraId="25F086F0" w14:textId="676D605B" w:rsidR="00104260" w:rsidRPr="0003653F" w:rsidRDefault="00893B2F" w:rsidP="00104260">
      <w:pPr>
        <w:pStyle w:val="BlockNumber"/>
        <w:ind w:left="1587" w:hanging="873"/>
        <w:rPr>
          <w:rFonts w:cs="Arial"/>
          <w:szCs w:val="20"/>
        </w:rPr>
      </w:pPr>
      <w:r>
        <w:rPr>
          <w:rFonts w:cs="Arial"/>
          <w:szCs w:val="20"/>
        </w:rPr>
        <w:t>Learner</w:t>
      </w:r>
      <w:r w:rsidR="00104260" w:rsidRPr="0003653F">
        <w:rPr>
          <w:rFonts w:cs="Arial"/>
          <w:szCs w:val="20"/>
        </w:rPr>
        <w:t xml:space="preserve">s who have not received their </w:t>
      </w:r>
      <w:r w:rsidR="006703B3" w:rsidRPr="0003653F">
        <w:rPr>
          <w:rFonts w:cs="Arial"/>
          <w:szCs w:val="20"/>
        </w:rPr>
        <w:t>final course results notice</w:t>
      </w:r>
      <w:r w:rsidR="00104260" w:rsidRPr="0003653F">
        <w:rPr>
          <w:rFonts w:cs="Arial"/>
          <w:szCs w:val="20"/>
        </w:rPr>
        <w:t xml:space="preserve"> </w:t>
      </w:r>
      <w:r w:rsidR="001913B0">
        <w:rPr>
          <w:rFonts w:cs="Arial"/>
          <w:szCs w:val="20"/>
        </w:rPr>
        <w:t xml:space="preserve">or had their Record of Learning updated </w:t>
      </w:r>
      <w:r w:rsidR="00104260" w:rsidRPr="0003653F">
        <w:rPr>
          <w:rFonts w:cs="Arial"/>
          <w:szCs w:val="20"/>
        </w:rPr>
        <w:t xml:space="preserve">because of unpaid fees may apply in writing to the </w:t>
      </w:r>
      <w:r w:rsidR="0012185B">
        <w:rPr>
          <w:rFonts w:cs="Arial"/>
          <w:szCs w:val="20"/>
        </w:rPr>
        <w:t xml:space="preserve">PTE Manager </w:t>
      </w:r>
      <w:r w:rsidR="00104260" w:rsidRPr="0003653F">
        <w:rPr>
          <w:rFonts w:cs="Arial"/>
          <w:szCs w:val="20"/>
        </w:rPr>
        <w:t xml:space="preserve">to </w:t>
      </w:r>
      <w:r w:rsidR="00104260" w:rsidRPr="0003653F">
        <w:rPr>
          <w:rFonts w:cs="Arial"/>
          <w:szCs w:val="20"/>
        </w:rPr>
        <w:lastRenderedPageBreak/>
        <w:t xml:space="preserve">receive their results notices </w:t>
      </w:r>
      <w:r w:rsidR="00DA4518">
        <w:rPr>
          <w:rFonts w:cs="Arial"/>
          <w:szCs w:val="20"/>
        </w:rPr>
        <w:t xml:space="preserve">or have their Record of Learning updated </w:t>
      </w:r>
      <w:r w:rsidR="00104260" w:rsidRPr="0003653F">
        <w:rPr>
          <w:rFonts w:cs="Arial"/>
          <w:szCs w:val="20"/>
        </w:rPr>
        <w:t>once full payment of fees has been made.</w:t>
      </w:r>
    </w:p>
    <w:p w14:paraId="0F43FBFD" w14:textId="65917AA1" w:rsidR="00364D33" w:rsidRPr="0003653F" w:rsidRDefault="00D72A1B" w:rsidP="00766BF9">
      <w:pPr>
        <w:pStyle w:val="BlockNumber"/>
        <w:ind w:left="1587" w:hanging="873"/>
        <w:rPr>
          <w:rFonts w:cs="Arial"/>
          <w:szCs w:val="20"/>
          <w:lang w:val="en-NZ"/>
        </w:rPr>
      </w:pPr>
      <w:r w:rsidRPr="0003653F">
        <w:rPr>
          <w:rFonts w:cs="Arial"/>
          <w:szCs w:val="20"/>
          <w:lang w:val="en-NZ"/>
        </w:rPr>
        <w:t xml:space="preserve">The </w:t>
      </w:r>
      <w:r w:rsidR="005F4880">
        <w:rPr>
          <w:rFonts w:cs="Arial"/>
          <w:szCs w:val="20"/>
          <w:lang w:val="en-NZ"/>
        </w:rPr>
        <w:t xml:space="preserve">Registrar </w:t>
      </w:r>
      <w:r w:rsidRPr="0003653F">
        <w:rPr>
          <w:rFonts w:cs="Arial"/>
          <w:szCs w:val="20"/>
          <w:lang w:val="en-NZ"/>
        </w:rPr>
        <w:t xml:space="preserve">issues official Academic Transcripts to </w:t>
      </w:r>
      <w:r w:rsidR="00893B2F">
        <w:rPr>
          <w:rFonts w:cs="Arial"/>
          <w:szCs w:val="20"/>
          <w:lang w:val="en-NZ"/>
        </w:rPr>
        <w:t>learner</w:t>
      </w:r>
      <w:r w:rsidRPr="0003653F">
        <w:rPr>
          <w:rFonts w:cs="Arial"/>
          <w:szCs w:val="20"/>
          <w:lang w:val="en-NZ"/>
        </w:rPr>
        <w:t xml:space="preserve">s upon request and payment of the prescribed fee.  </w:t>
      </w:r>
    </w:p>
    <w:p w14:paraId="3E26D501" w14:textId="77777777" w:rsidR="005D6912" w:rsidRPr="0003653F" w:rsidRDefault="005D6912" w:rsidP="005D6912">
      <w:pPr>
        <w:pStyle w:val="Bullet1"/>
        <w:numPr>
          <w:ilvl w:val="0"/>
          <w:numId w:val="0"/>
        </w:numPr>
        <w:ind w:left="1560"/>
        <w:rPr>
          <w:rFonts w:cs="Arial"/>
          <w:lang w:val="en-NZ"/>
        </w:rPr>
      </w:pPr>
      <w:r w:rsidRPr="0003653F">
        <w:rPr>
          <w:rFonts w:cs="Arial"/>
          <w:b/>
          <w:lang w:val="en-NZ"/>
        </w:rPr>
        <w:t>Note:</w:t>
      </w:r>
      <w:r w:rsidRPr="0003653F">
        <w:rPr>
          <w:rFonts w:cs="Arial"/>
          <w:lang w:val="en-NZ"/>
        </w:rPr>
        <w:t xml:space="preserve"> The information </w:t>
      </w:r>
      <w:r w:rsidR="001F033D" w:rsidRPr="0003653F">
        <w:rPr>
          <w:rFonts w:cs="Arial"/>
          <w:lang w:val="en-NZ"/>
        </w:rPr>
        <w:t>contained in the Academic Transcript</w:t>
      </w:r>
      <w:r w:rsidRPr="0003653F">
        <w:rPr>
          <w:rFonts w:cs="Arial"/>
          <w:lang w:val="en-NZ"/>
        </w:rPr>
        <w:t xml:space="preserve"> is a complete record of study, including passes and fails in all </w:t>
      </w:r>
      <w:r w:rsidR="0048434E" w:rsidRPr="0003653F">
        <w:rPr>
          <w:rFonts w:cs="Arial"/>
          <w:lang w:val="en-NZ"/>
        </w:rPr>
        <w:t>courses</w:t>
      </w:r>
      <w:r w:rsidRPr="0003653F">
        <w:rPr>
          <w:rFonts w:cs="Arial"/>
          <w:lang w:val="en-NZ"/>
        </w:rPr>
        <w:t xml:space="preserve"> studied.</w:t>
      </w:r>
    </w:p>
    <w:p w14:paraId="72C654C3" w14:textId="32D1A983" w:rsidR="006241D2" w:rsidRPr="0003653F" w:rsidRDefault="00FC37A2" w:rsidP="00660169">
      <w:pPr>
        <w:pStyle w:val="BlockNumber"/>
        <w:spacing w:after="60"/>
        <w:ind w:left="1587" w:hanging="873"/>
        <w:rPr>
          <w:rFonts w:cs="Arial"/>
          <w:szCs w:val="20"/>
          <w:lang w:val="en-NZ"/>
        </w:rPr>
      </w:pPr>
      <w:r w:rsidRPr="0003653F">
        <w:rPr>
          <w:rFonts w:cs="Arial"/>
          <w:szCs w:val="20"/>
          <w:lang w:val="en-NZ"/>
        </w:rPr>
        <w:t xml:space="preserve">Where </w:t>
      </w:r>
      <w:r w:rsidR="00D72A1B" w:rsidRPr="0003653F">
        <w:rPr>
          <w:rFonts w:cs="Arial"/>
          <w:szCs w:val="20"/>
          <w:lang w:val="en-NZ"/>
        </w:rPr>
        <w:t xml:space="preserve">a current </w:t>
      </w:r>
      <w:r w:rsidR="00893B2F">
        <w:rPr>
          <w:rFonts w:cs="Arial"/>
          <w:szCs w:val="20"/>
          <w:lang w:val="en-NZ"/>
        </w:rPr>
        <w:t>learner</w:t>
      </w:r>
      <w:r w:rsidR="00D72A1B" w:rsidRPr="0003653F">
        <w:rPr>
          <w:rFonts w:cs="Arial"/>
          <w:szCs w:val="20"/>
          <w:lang w:val="en-NZ"/>
        </w:rPr>
        <w:t xml:space="preserve"> is eligible but dies before receiving their final course results</w:t>
      </w:r>
      <w:r w:rsidR="00D03F73" w:rsidRPr="0003653F">
        <w:rPr>
          <w:rFonts w:cs="Arial"/>
          <w:szCs w:val="20"/>
          <w:lang w:val="en-NZ"/>
        </w:rPr>
        <w:t xml:space="preserve"> notice</w:t>
      </w:r>
      <w:r w:rsidR="00D72A1B" w:rsidRPr="0003653F">
        <w:rPr>
          <w:rFonts w:cs="Arial"/>
          <w:szCs w:val="20"/>
          <w:lang w:val="en-NZ"/>
        </w:rPr>
        <w:t xml:space="preserve">, their next of kin or personal representative may apply in writing to </w:t>
      </w:r>
      <w:r w:rsidR="00893B2F">
        <w:rPr>
          <w:rFonts w:cs="Arial"/>
          <w:szCs w:val="20"/>
          <w:lang w:val="en-NZ"/>
        </w:rPr>
        <w:t>ATNZ</w:t>
      </w:r>
      <w:r w:rsidR="00D72A1B" w:rsidRPr="0003653F">
        <w:rPr>
          <w:rFonts w:cs="Arial"/>
          <w:szCs w:val="20"/>
          <w:lang w:val="en-NZ"/>
        </w:rPr>
        <w:t xml:space="preserve"> to receive the</w:t>
      </w:r>
      <w:r w:rsidR="00F95A37" w:rsidRPr="0003653F">
        <w:rPr>
          <w:rFonts w:cs="Arial"/>
          <w:szCs w:val="20"/>
          <w:lang w:val="en-NZ"/>
        </w:rPr>
        <w:t>ir</w:t>
      </w:r>
      <w:r w:rsidR="00D72A1B" w:rsidRPr="0003653F">
        <w:rPr>
          <w:rFonts w:cs="Arial"/>
          <w:szCs w:val="20"/>
          <w:lang w:val="en-NZ"/>
        </w:rPr>
        <w:t xml:space="preserve"> </w:t>
      </w:r>
      <w:proofErr w:type="gramStart"/>
      <w:r w:rsidR="00D72A1B" w:rsidRPr="0003653F">
        <w:rPr>
          <w:rFonts w:cs="Arial"/>
          <w:szCs w:val="20"/>
          <w:lang w:val="en-NZ"/>
        </w:rPr>
        <w:t>final results</w:t>
      </w:r>
      <w:proofErr w:type="gramEnd"/>
      <w:r w:rsidR="00D72A1B" w:rsidRPr="0003653F">
        <w:rPr>
          <w:rFonts w:cs="Arial"/>
          <w:szCs w:val="20"/>
          <w:lang w:val="en-NZ"/>
        </w:rPr>
        <w:t>.</w:t>
      </w:r>
    </w:p>
    <w:p w14:paraId="3DAEAF08" w14:textId="77777777" w:rsidR="00736967" w:rsidRPr="00032FAF" w:rsidRDefault="002C2C6B" w:rsidP="00D74B34">
      <w:pPr>
        <w:pStyle w:val="Heading2No"/>
        <w:spacing w:before="320"/>
        <w:rPr>
          <w:rFonts w:cs="Arial"/>
          <w:szCs w:val="20"/>
          <w:lang w:val="en-NZ"/>
        </w:rPr>
      </w:pPr>
      <w:r w:rsidRPr="00032FAF">
        <w:rPr>
          <w:rFonts w:cs="Arial"/>
          <w:szCs w:val="20"/>
          <w:lang w:val="en-NZ"/>
        </w:rPr>
        <w:t>Reco</w:t>
      </w:r>
      <w:r w:rsidR="00984437">
        <w:rPr>
          <w:rFonts w:cs="Arial"/>
          <w:szCs w:val="20"/>
          <w:lang w:val="en-NZ"/>
        </w:rPr>
        <w:t>nsideration</w:t>
      </w:r>
      <w:r w:rsidR="00160337">
        <w:rPr>
          <w:rFonts w:cs="Arial"/>
          <w:szCs w:val="20"/>
          <w:lang w:val="en-NZ"/>
        </w:rPr>
        <w:t xml:space="preserve">, </w:t>
      </w:r>
      <w:proofErr w:type="gramStart"/>
      <w:r w:rsidR="00160337">
        <w:rPr>
          <w:rFonts w:cs="Arial"/>
          <w:szCs w:val="20"/>
          <w:lang w:val="en-NZ"/>
        </w:rPr>
        <w:t>retention</w:t>
      </w:r>
      <w:proofErr w:type="gramEnd"/>
      <w:r w:rsidR="00984437">
        <w:rPr>
          <w:rFonts w:cs="Arial"/>
          <w:szCs w:val="20"/>
          <w:lang w:val="en-NZ"/>
        </w:rPr>
        <w:t xml:space="preserve"> </w:t>
      </w:r>
      <w:r w:rsidR="008336CB" w:rsidRPr="00032FAF">
        <w:rPr>
          <w:rFonts w:cs="Arial"/>
          <w:szCs w:val="20"/>
          <w:lang w:val="en-NZ"/>
        </w:rPr>
        <w:t xml:space="preserve">and </w:t>
      </w:r>
      <w:r w:rsidR="00531063" w:rsidRPr="00032FAF">
        <w:rPr>
          <w:rFonts w:cs="Arial"/>
          <w:szCs w:val="20"/>
          <w:lang w:val="en-NZ"/>
        </w:rPr>
        <w:t xml:space="preserve">the </w:t>
      </w:r>
      <w:r w:rsidR="00D72A1B" w:rsidRPr="00032FAF">
        <w:rPr>
          <w:rFonts w:cs="Arial"/>
          <w:szCs w:val="20"/>
          <w:lang w:val="en-NZ"/>
        </w:rPr>
        <w:t xml:space="preserve">return of </w:t>
      </w:r>
      <w:r w:rsidR="00321CAD" w:rsidRPr="00032FAF">
        <w:rPr>
          <w:rFonts w:cs="Arial"/>
          <w:szCs w:val="20"/>
          <w:lang w:val="en-NZ"/>
        </w:rPr>
        <w:t>assessment evidence</w:t>
      </w:r>
    </w:p>
    <w:p w14:paraId="717D98D9" w14:textId="0B6ED7BB" w:rsidR="00984437" w:rsidRDefault="00984437" w:rsidP="00984437">
      <w:pPr>
        <w:pStyle w:val="BlockNumber"/>
        <w:spacing w:after="80"/>
        <w:ind w:left="1587" w:hanging="873"/>
        <w:rPr>
          <w:rFonts w:cs="Arial"/>
          <w:szCs w:val="20"/>
          <w:lang w:val="en-NZ"/>
        </w:rPr>
      </w:pPr>
      <w:r w:rsidRPr="0003653F">
        <w:rPr>
          <w:rFonts w:cs="Arial"/>
          <w:szCs w:val="20"/>
          <w:lang w:val="en-NZ"/>
        </w:rPr>
        <w:t xml:space="preserve">Following summative assessment, </w:t>
      </w:r>
      <w:r w:rsidR="00893B2F">
        <w:rPr>
          <w:rFonts w:cs="Arial"/>
          <w:szCs w:val="20"/>
          <w:lang w:val="en-NZ"/>
        </w:rPr>
        <w:t>learner</w:t>
      </w:r>
      <w:r w:rsidRPr="0003653F">
        <w:rPr>
          <w:rFonts w:cs="Arial"/>
          <w:szCs w:val="20"/>
          <w:lang w:val="en-NZ"/>
        </w:rPr>
        <w:t>s are entitled to:</w:t>
      </w:r>
    </w:p>
    <w:p w14:paraId="7A5DBFF4" w14:textId="77777777" w:rsidR="00984437" w:rsidRDefault="00984437" w:rsidP="00984437">
      <w:pPr>
        <w:pStyle w:val="Bullet1"/>
        <w:tabs>
          <w:tab w:val="clear" w:pos="1494"/>
        </w:tabs>
        <w:ind w:left="2127" w:hanging="426"/>
        <w:rPr>
          <w:rFonts w:cs="Arial"/>
          <w:lang w:val="en-NZ"/>
        </w:rPr>
      </w:pPr>
      <w:r>
        <w:rPr>
          <w:rFonts w:cs="Arial"/>
          <w:lang w:val="en-NZ"/>
        </w:rPr>
        <w:t xml:space="preserve">Sight </w:t>
      </w:r>
      <w:r w:rsidR="00160337">
        <w:rPr>
          <w:rFonts w:cs="Arial"/>
          <w:lang w:val="en-NZ"/>
        </w:rPr>
        <w:t xml:space="preserve">and review </w:t>
      </w:r>
      <w:r>
        <w:rPr>
          <w:rFonts w:cs="Arial"/>
          <w:lang w:val="en-NZ"/>
        </w:rPr>
        <w:t xml:space="preserve">their marked </w:t>
      </w:r>
      <w:proofErr w:type="gramStart"/>
      <w:r>
        <w:rPr>
          <w:rFonts w:cs="Arial"/>
          <w:lang w:val="en-NZ"/>
        </w:rPr>
        <w:t>assessment</w:t>
      </w:r>
      <w:proofErr w:type="gramEnd"/>
    </w:p>
    <w:p w14:paraId="7999EF0B" w14:textId="77777777" w:rsidR="00984437" w:rsidRPr="0003653F" w:rsidRDefault="00160337" w:rsidP="00984437">
      <w:pPr>
        <w:pStyle w:val="Bullet1"/>
        <w:tabs>
          <w:tab w:val="clear" w:pos="1494"/>
        </w:tabs>
        <w:ind w:left="2127" w:hanging="426"/>
        <w:rPr>
          <w:rFonts w:cs="Arial"/>
          <w:lang w:val="en-NZ"/>
        </w:rPr>
      </w:pPr>
      <w:r>
        <w:rPr>
          <w:rFonts w:cs="Arial"/>
          <w:lang w:val="en-NZ"/>
        </w:rPr>
        <w:t>Receive f</w:t>
      </w:r>
      <w:r w:rsidR="00984437" w:rsidRPr="0003653F">
        <w:rPr>
          <w:rFonts w:cs="Arial"/>
          <w:lang w:val="en-NZ"/>
        </w:rPr>
        <w:t>eedback on what was expected in the assessment and on how results were determined so they can monitor their progress; and</w:t>
      </w:r>
    </w:p>
    <w:p w14:paraId="21747F7F" w14:textId="77777777" w:rsidR="00A4494E" w:rsidRDefault="00984437" w:rsidP="00984437">
      <w:pPr>
        <w:pStyle w:val="Bullet1"/>
        <w:tabs>
          <w:tab w:val="clear" w:pos="1494"/>
        </w:tabs>
        <w:ind w:left="2127" w:hanging="426"/>
        <w:rPr>
          <w:rFonts w:cs="Arial"/>
          <w:lang w:val="en-NZ"/>
        </w:rPr>
      </w:pPr>
      <w:r>
        <w:rPr>
          <w:rFonts w:cs="Arial"/>
          <w:lang w:val="en-NZ"/>
        </w:rPr>
        <w:t xml:space="preserve">Apply for reconsideration </w:t>
      </w:r>
      <w:r w:rsidR="00A4494E">
        <w:rPr>
          <w:rFonts w:cs="Arial"/>
          <w:lang w:val="en-NZ"/>
        </w:rPr>
        <w:t>of the marks or grades awarded for an assessment.</w:t>
      </w:r>
    </w:p>
    <w:p w14:paraId="0D4BE06A" w14:textId="0DE540C7" w:rsidR="00A4494E" w:rsidRDefault="00A4494E" w:rsidP="00984437">
      <w:pPr>
        <w:pStyle w:val="Bullet1"/>
        <w:tabs>
          <w:tab w:val="clear" w:pos="1494"/>
        </w:tabs>
        <w:ind w:left="2127" w:hanging="426"/>
        <w:rPr>
          <w:rFonts w:cs="Arial"/>
          <w:lang w:val="en-NZ"/>
        </w:rPr>
      </w:pPr>
      <w:r>
        <w:rPr>
          <w:rFonts w:cs="Arial"/>
          <w:lang w:val="en-NZ"/>
        </w:rPr>
        <w:t xml:space="preserve">Apply to have the original copy of their assessment returned to them. In such cases, </w:t>
      </w:r>
      <w:r w:rsidR="00893B2F">
        <w:rPr>
          <w:rFonts w:cs="Arial"/>
          <w:lang w:val="en-NZ"/>
        </w:rPr>
        <w:t>ATNZ</w:t>
      </w:r>
      <w:r>
        <w:rPr>
          <w:rFonts w:cs="Arial"/>
          <w:lang w:val="en-NZ"/>
        </w:rPr>
        <w:t xml:space="preserve"> may charge a fee to cover the cost of copying the assessment for NZQA retention requirements and moderation. </w:t>
      </w:r>
    </w:p>
    <w:p w14:paraId="32ECFB9B" w14:textId="3BE054AA" w:rsidR="00160337" w:rsidRDefault="00893B2F" w:rsidP="00160337">
      <w:pPr>
        <w:pStyle w:val="BlockNumber"/>
        <w:spacing w:after="80"/>
        <w:ind w:left="1587" w:hanging="873"/>
        <w:rPr>
          <w:rFonts w:cs="Arial"/>
          <w:szCs w:val="20"/>
          <w:lang w:val="en-NZ"/>
        </w:rPr>
      </w:pPr>
      <w:r>
        <w:rPr>
          <w:rFonts w:cs="Arial"/>
          <w:szCs w:val="20"/>
          <w:lang w:val="en-NZ"/>
        </w:rPr>
        <w:t>Learner</w:t>
      </w:r>
      <w:r w:rsidR="00160337">
        <w:rPr>
          <w:rFonts w:cs="Arial"/>
          <w:szCs w:val="20"/>
          <w:lang w:val="en-NZ"/>
        </w:rPr>
        <w:t>s are entitled to apply for reconsideration of an assessment mark or grade, the outcome for a course or the outcome for a programme.</w:t>
      </w:r>
    </w:p>
    <w:p w14:paraId="487D2C85" w14:textId="31F32FBE" w:rsidR="00160337" w:rsidRDefault="00893B2F" w:rsidP="00160337">
      <w:pPr>
        <w:pStyle w:val="BlockNumber"/>
        <w:spacing w:after="80"/>
        <w:ind w:left="1587" w:hanging="873"/>
        <w:rPr>
          <w:rFonts w:cs="Arial"/>
          <w:szCs w:val="20"/>
          <w:lang w:val="en-NZ"/>
        </w:rPr>
      </w:pPr>
      <w:r>
        <w:rPr>
          <w:rFonts w:cs="Arial"/>
          <w:szCs w:val="20"/>
          <w:lang w:val="en-NZ"/>
        </w:rPr>
        <w:t>ATNZ</w:t>
      </w:r>
      <w:r w:rsidR="00160337">
        <w:rPr>
          <w:rFonts w:cs="Arial"/>
          <w:szCs w:val="20"/>
          <w:lang w:val="en-NZ"/>
        </w:rPr>
        <w:t xml:space="preserve"> may charge a fee for reconsidering </w:t>
      </w:r>
      <w:r w:rsidR="00C920CD">
        <w:rPr>
          <w:rFonts w:cs="Arial"/>
          <w:szCs w:val="20"/>
          <w:lang w:val="en-NZ"/>
        </w:rPr>
        <w:t>any assessment</w:t>
      </w:r>
      <w:r w:rsidR="00882631">
        <w:rPr>
          <w:rFonts w:cs="Arial"/>
          <w:szCs w:val="20"/>
          <w:lang w:val="en-NZ"/>
        </w:rPr>
        <w:t xml:space="preserve"> mark, </w:t>
      </w:r>
      <w:proofErr w:type="gramStart"/>
      <w:r w:rsidR="00882631">
        <w:rPr>
          <w:rFonts w:cs="Arial"/>
          <w:szCs w:val="20"/>
          <w:lang w:val="en-NZ"/>
        </w:rPr>
        <w:t>grade</w:t>
      </w:r>
      <w:proofErr w:type="gramEnd"/>
      <w:r w:rsidR="00882631">
        <w:rPr>
          <w:rFonts w:cs="Arial"/>
          <w:szCs w:val="20"/>
          <w:lang w:val="en-NZ"/>
        </w:rPr>
        <w:t xml:space="preserve"> or course outcome</w:t>
      </w:r>
      <w:r w:rsidR="00C920CD">
        <w:rPr>
          <w:rFonts w:cs="Arial"/>
          <w:szCs w:val="20"/>
          <w:lang w:val="en-NZ"/>
        </w:rPr>
        <w:t>.</w:t>
      </w:r>
      <w:r w:rsidR="00160337">
        <w:rPr>
          <w:rFonts w:cs="Arial"/>
          <w:szCs w:val="20"/>
          <w:lang w:val="en-NZ"/>
        </w:rPr>
        <w:t xml:space="preserve"> </w:t>
      </w:r>
    </w:p>
    <w:p w14:paraId="0521C189" w14:textId="11A408E4" w:rsidR="00160337" w:rsidRDefault="00160337" w:rsidP="00160337">
      <w:pPr>
        <w:pStyle w:val="BlockNumber"/>
        <w:spacing w:after="80"/>
        <w:ind w:left="1587" w:hanging="873"/>
        <w:rPr>
          <w:rFonts w:cs="Arial"/>
          <w:szCs w:val="20"/>
          <w:lang w:val="en-NZ"/>
        </w:rPr>
      </w:pPr>
      <w:r>
        <w:rPr>
          <w:rFonts w:cs="Arial"/>
          <w:szCs w:val="20"/>
          <w:lang w:val="en-NZ"/>
        </w:rPr>
        <w:t xml:space="preserve">Applications for reconsideration of an assessment mark or grade, the outcome for a course or the outcome for a programme must be made in writing to the Academic </w:t>
      </w:r>
      <w:r w:rsidR="00DD08C7">
        <w:rPr>
          <w:rFonts w:cs="Arial"/>
          <w:szCs w:val="20"/>
          <w:lang w:val="en-NZ"/>
        </w:rPr>
        <w:t xml:space="preserve">Manager </w:t>
      </w:r>
      <w:r>
        <w:rPr>
          <w:rFonts w:cs="Arial"/>
          <w:szCs w:val="20"/>
          <w:lang w:val="en-NZ"/>
        </w:rPr>
        <w:t xml:space="preserve">within 10 working days of the result having been made available to the </w:t>
      </w:r>
      <w:r w:rsidR="00893B2F">
        <w:rPr>
          <w:rFonts w:cs="Arial"/>
          <w:szCs w:val="20"/>
          <w:lang w:val="en-NZ"/>
        </w:rPr>
        <w:t>learner</w:t>
      </w:r>
      <w:r>
        <w:rPr>
          <w:rFonts w:cs="Arial"/>
          <w:szCs w:val="20"/>
          <w:lang w:val="en-NZ"/>
        </w:rPr>
        <w:t>.</w:t>
      </w:r>
    </w:p>
    <w:p w14:paraId="7B0A68BA" w14:textId="34374782" w:rsidR="001D4973" w:rsidRDefault="00160337" w:rsidP="00160337">
      <w:pPr>
        <w:pStyle w:val="BlockNumber"/>
        <w:spacing w:after="80"/>
        <w:ind w:left="1587" w:hanging="873"/>
        <w:rPr>
          <w:rFonts w:cs="Arial"/>
          <w:szCs w:val="20"/>
          <w:lang w:val="en-NZ"/>
        </w:rPr>
      </w:pPr>
      <w:r>
        <w:rPr>
          <w:rFonts w:cs="Arial"/>
          <w:szCs w:val="20"/>
          <w:lang w:val="en-NZ"/>
        </w:rPr>
        <w:t xml:space="preserve">The Academic </w:t>
      </w:r>
      <w:r w:rsidR="00DD08C7">
        <w:rPr>
          <w:rFonts w:cs="Arial"/>
          <w:szCs w:val="20"/>
          <w:lang w:val="en-NZ"/>
        </w:rPr>
        <w:t xml:space="preserve">Manager </w:t>
      </w:r>
      <w:r>
        <w:rPr>
          <w:rFonts w:cs="Arial"/>
          <w:szCs w:val="20"/>
          <w:lang w:val="en-NZ"/>
        </w:rPr>
        <w:t xml:space="preserve">shall appoint a suitably competent person independent of the initial assessment decision </w:t>
      </w:r>
      <w:r w:rsidR="001D4973">
        <w:rPr>
          <w:rFonts w:cs="Arial"/>
          <w:szCs w:val="20"/>
          <w:lang w:val="en-NZ"/>
        </w:rPr>
        <w:t>to undertake any reconsideration</w:t>
      </w:r>
      <w:r>
        <w:rPr>
          <w:rFonts w:cs="Arial"/>
          <w:szCs w:val="20"/>
          <w:lang w:val="en-NZ"/>
        </w:rPr>
        <w:t xml:space="preserve"> </w:t>
      </w:r>
      <w:r w:rsidR="001D4973">
        <w:rPr>
          <w:rFonts w:cs="Arial"/>
          <w:szCs w:val="20"/>
          <w:lang w:val="en-NZ"/>
        </w:rPr>
        <w:t xml:space="preserve">applied for by a </w:t>
      </w:r>
      <w:r w:rsidR="00893B2F">
        <w:rPr>
          <w:rFonts w:cs="Arial"/>
          <w:szCs w:val="20"/>
          <w:lang w:val="en-NZ"/>
        </w:rPr>
        <w:t>learner</w:t>
      </w:r>
      <w:r w:rsidR="001D4973">
        <w:rPr>
          <w:rFonts w:cs="Arial"/>
          <w:szCs w:val="20"/>
          <w:lang w:val="en-NZ"/>
        </w:rPr>
        <w:t>.</w:t>
      </w:r>
    </w:p>
    <w:p w14:paraId="59609E1B" w14:textId="77777777" w:rsidR="001D4973" w:rsidRDefault="001D4973" w:rsidP="00160337">
      <w:pPr>
        <w:pStyle w:val="BlockNumber"/>
        <w:spacing w:after="80"/>
        <w:ind w:left="1587" w:hanging="873"/>
        <w:rPr>
          <w:rFonts w:cs="Arial"/>
          <w:szCs w:val="20"/>
          <w:lang w:val="en-NZ"/>
        </w:rPr>
      </w:pPr>
      <w:r>
        <w:rPr>
          <w:rFonts w:cs="Arial"/>
          <w:szCs w:val="20"/>
          <w:lang w:val="en-NZ"/>
        </w:rPr>
        <w:t xml:space="preserve">Reconsideration may lead to an unchanged assessment decision or to the raising or lowering of a result or outcome.  </w:t>
      </w:r>
    </w:p>
    <w:p w14:paraId="6A9E596F" w14:textId="36DE71AB" w:rsidR="00160337" w:rsidRDefault="001D4973" w:rsidP="00160337">
      <w:pPr>
        <w:pStyle w:val="BlockNumber"/>
        <w:spacing w:after="80"/>
        <w:ind w:left="1587" w:hanging="873"/>
        <w:rPr>
          <w:rFonts w:cs="Arial"/>
          <w:szCs w:val="20"/>
          <w:lang w:val="en-NZ"/>
        </w:rPr>
      </w:pPr>
      <w:r>
        <w:rPr>
          <w:rFonts w:cs="Arial"/>
          <w:szCs w:val="20"/>
          <w:lang w:val="en-NZ"/>
        </w:rPr>
        <w:t xml:space="preserve">The outcome from any reconsideration shall be communicated to the </w:t>
      </w:r>
      <w:r w:rsidR="00893B2F">
        <w:rPr>
          <w:rFonts w:cs="Arial"/>
          <w:szCs w:val="20"/>
          <w:lang w:val="en-NZ"/>
        </w:rPr>
        <w:t>learner</w:t>
      </w:r>
      <w:r>
        <w:rPr>
          <w:rFonts w:cs="Arial"/>
          <w:szCs w:val="20"/>
          <w:lang w:val="en-NZ"/>
        </w:rPr>
        <w:t xml:space="preserve"> within 10 working days of their application being received by the Academic </w:t>
      </w:r>
      <w:r w:rsidR="00DD08C7">
        <w:rPr>
          <w:rFonts w:cs="Arial"/>
          <w:szCs w:val="20"/>
          <w:lang w:val="en-NZ"/>
        </w:rPr>
        <w:t>Manager</w:t>
      </w:r>
      <w:r>
        <w:rPr>
          <w:rFonts w:cs="Arial"/>
          <w:szCs w:val="20"/>
          <w:lang w:val="en-NZ"/>
        </w:rPr>
        <w:t>.</w:t>
      </w:r>
      <w:r w:rsidR="00160337">
        <w:rPr>
          <w:rFonts w:cs="Arial"/>
          <w:szCs w:val="20"/>
          <w:lang w:val="en-NZ"/>
        </w:rPr>
        <w:t xml:space="preserve"> </w:t>
      </w:r>
    </w:p>
    <w:p w14:paraId="22579A36" w14:textId="1E342775" w:rsidR="00553F83" w:rsidRDefault="00553F83" w:rsidP="0086470B">
      <w:pPr>
        <w:pStyle w:val="BlockNumber"/>
        <w:spacing w:after="80"/>
        <w:ind w:left="1587" w:hanging="873"/>
        <w:rPr>
          <w:rFonts w:cs="Arial"/>
          <w:szCs w:val="20"/>
          <w:lang w:val="en-NZ"/>
        </w:rPr>
      </w:pPr>
      <w:r>
        <w:rPr>
          <w:rFonts w:cs="Arial"/>
          <w:szCs w:val="20"/>
          <w:lang w:val="en-NZ"/>
        </w:rPr>
        <w:t>Copies of a</w:t>
      </w:r>
      <w:r w:rsidR="00707EE5" w:rsidRPr="0003653F">
        <w:rPr>
          <w:rFonts w:cs="Arial"/>
          <w:szCs w:val="20"/>
          <w:lang w:val="en-NZ"/>
        </w:rPr>
        <w:t xml:space="preserve">ssessment evidence </w:t>
      </w:r>
      <w:r w:rsidR="004033E3">
        <w:rPr>
          <w:rFonts w:cs="Arial"/>
          <w:szCs w:val="20"/>
          <w:lang w:val="en-NZ"/>
        </w:rPr>
        <w:t xml:space="preserve">will be retained in secure </w:t>
      </w:r>
      <w:r w:rsidR="00DD08C7">
        <w:rPr>
          <w:rFonts w:cs="Arial"/>
          <w:szCs w:val="20"/>
          <w:lang w:val="en-NZ"/>
        </w:rPr>
        <w:t xml:space="preserve">or electronic </w:t>
      </w:r>
      <w:r w:rsidR="004033E3">
        <w:rPr>
          <w:rFonts w:cs="Arial"/>
          <w:szCs w:val="20"/>
          <w:lang w:val="en-NZ"/>
        </w:rPr>
        <w:t xml:space="preserve">storage for 12 months following the completion of the programme </w:t>
      </w:r>
      <w:r w:rsidR="00363D0D">
        <w:rPr>
          <w:rFonts w:cs="Arial"/>
          <w:szCs w:val="20"/>
          <w:lang w:val="en-NZ"/>
        </w:rPr>
        <w:t xml:space="preserve">or withdrawal from the programme. </w:t>
      </w:r>
      <w:r w:rsidR="004033E3">
        <w:rPr>
          <w:rFonts w:cs="Arial"/>
          <w:szCs w:val="20"/>
          <w:lang w:val="en-NZ"/>
        </w:rPr>
        <w:t xml:space="preserve"> </w:t>
      </w:r>
    </w:p>
    <w:p w14:paraId="57D9D92E" w14:textId="004A8013" w:rsidR="00160337" w:rsidRDefault="00363D0D" w:rsidP="0086470B">
      <w:pPr>
        <w:pStyle w:val="BlockNumber"/>
        <w:spacing w:after="80"/>
        <w:ind w:left="1587" w:hanging="873"/>
        <w:rPr>
          <w:rFonts w:cs="Arial"/>
          <w:szCs w:val="20"/>
          <w:lang w:val="en-NZ"/>
        </w:rPr>
      </w:pPr>
      <w:r>
        <w:rPr>
          <w:rFonts w:cs="Arial"/>
          <w:szCs w:val="20"/>
          <w:lang w:val="en-NZ"/>
        </w:rPr>
        <w:t>L</w:t>
      </w:r>
      <w:r w:rsidR="00893B2F">
        <w:rPr>
          <w:rFonts w:cs="Arial"/>
          <w:szCs w:val="20"/>
          <w:lang w:val="en-NZ"/>
        </w:rPr>
        <w:t>earner</w:t>
      </w:r>
      <w:r w:rsidR="004033E3">
        <w:rPr>
          <w:rFonts w:cs="Arial"/>
          <w:szCs w:val="20"/>
          <w:lang w:val="en-NZ"/>
        </w:rPr>
        <w:t>s may apply in writing for the return of their assessments</w:t>
      </w:r>
      <w:r>
        <w:rPr>
          <w:rFonts w:cs="Arial"/>
          <w:szCs w:val="20"/>
          <w:lang w:val="en-NZ"/>
        </w:rPr>
        <w:t xml:space="preserve"> or copies of their assessments </w:t>
      </w:r>
      <w:r w:rsidR="0071452F">
        <w:rPr>
          <w:rFonts w:cs="Arial"/>
          <w:szCs w:val="20"/>
          <w:lang w:val="en-NZ"/>
        </w:rPr>
        <w:t>where these are not accessible through electronic storage</w:t>
      </w:r>
      <w:r w:rsidR="004033E3">
        <w:rPr>
          <w:rFonts w:cs="Arial"/>
          <w:szCs w:val="20"/>
          <w:lang w:val="en-NZ"/>
        </w:rPr>
        <w:t xml:space="preserve">. </w:t>
      </w:r>
    </w:p>
    <w:p w14:paraId="5B6D9C17" w14:textId="6981D4AF" w:rsidR="00707EE5" w:rsidRPr="0003653F" w:rsidRDefault="00160337" w:rsidP="0086470B">
      <w:pPr>
        <w:pStyle w:val="BlockNumber"/>
        <w:spacing w:after="80"/>
        <w:ind w:left="1587" w:hanging="873"/>
        <w:rPr>
          <w:rFonts w:cs="Arial"/>
          <w:szCs w:val="20"/>
          <w:lang w:val="en-NZ"/>
        </w:rPr>
      </w:pPr>
      <w:r>
        <w:rPr>
          <w:rFonts w:cs="Arial"/>
          <w:szCs w:val="20"/>
          <w:lang w:val="en-NZ"/>
        </w:rPr>
        <w:t xml:space="preserve">If no application for the return of assessments is received within eighteen months of the programme completion or permanent withdrawal from the programme by a </w:t>
      </w:r>
      <w:r w:rsidR="00893B2F">
        <w:rPr>
          <w:rFonts w:cs="Arial"/>
          <w:szCs w:val="20"/>
          <w:lang w:val="en-NZ"/>
        </w:rPr>
        <w:t>learner</w:t>
      </w:r>
      <w:r>
        <w:rPr>
          <w:rFonts w:cs="Arial"/>
          <w:szCs w:val="20"/>
          <w:lang w:val="en-NZ"/>
        </w:rPr>
        <w:t xml:space="preserve">, </w:t>
      </w:r>
      <w:r w:rsidR="00893B2F">
        <w:rPr>
          <w:rFonts w:cs="Arial"/>
          <w:szCs w:val="20"/>
          <w:lang w:val="en-NZ"/>
        </w:rPr>
        <w:t>ATNZ</w:t>
      </w:r>
      <w:r>
        <w:rPr>
          <w:rFonts w:cs="Arial"/>
          <w:szCs w:val="20"/>
          <w:lang w:val="en-NZ"/>
        </w:rPr>
        <w:t xml:space="preserve"> may destroy the assessments that have been retained. </w:t>
      </w:r>
      <w:r w:rsidR="004033E3">
        <w:rPr>
          <w:rFonts w:cs="Arial"/>
          <w:szCs w:val="20"/>
          <w:lang w:val="en-NZ"/>
        </w:rPr>
        <w:t xml:space="preserve"> </w:t>
      </w:r>
    </w:p>
    <w:p w14:paraId="170A0B27" w14:textId="77777777" w:rsidR="00736967" w:rsidRPr="00032FAF" w:rsidRDefault="00D72A1B" w:rsidP="00CC5604">
      <w:pPr>
        <w:pStyle w:val="Heading2No"/>
        <w:spacing w:before="480"/>
        <w:rPr>
          <w:rFonts w:cs="Arial"/>
          <w:szCs w:val="20"/>
          <w:lang w:val="en-NZ"/>
        </w:rPr>
      </w:pPr>
      <w:r w:rsidRPr="00032FAF">
        <w:rPr>
          <w:rFonts w:cs="Arial"/>
          <w:szCs w:val="20"/>
          <w:lang w:val="en-NZ"/>
        </w:rPr>
        <w:t>Advice to external organisations/people</w:t>
      </w:r>
    </w:p>
    <w:p w14:paraId="775AA71D" w14:textId="0CD50408" w:rsidR="00364D33" w:rsidRDefault="00893B2F" w:rsidP="00660169">
      <w:pPr>
        <w:pStyle w:val="BlockNumber"/>
        <w:spacing w:after="60"/>
        <w:ind w:left="1587" w:hanging="873"/>
        <w:rPr>
          <w:rFonts w:cs="Arial"/>
          <w:szCs w:val="20"/>
          <w:lang w:val="en-NZ"/>
        </w:rPr>
      </w:pPr>
      <w:r>
        <w:rPr>
          <w:rFonts w:cs="Arial"/>
          <w:szCs w:val="20"/>
          <w:lang w:val="en-NZ"/>
        </w:rPr>
        <w:lastRenderedPageBreak/>
        <w:t>Learner</w:t>
      </w:r>
      <w:r w:rsidR="00D72A1B" w:rsidRPr="0003653F">
        <w:rPr>
          <w:rFonts w:cs="Arial"/>
          <w:szCs w:val="20"/>
          <w:lang w:val="en-NZ"/>
        </w:rPr>
        <w:t xml:space="preserve">s must provide written permission to </w:t>
      </w:r>
      <w:r>
        <w:rPr>
          <w:rFonts w:cs="Arial"/>
          <w:szCs w:val="20"/>
          <w:lang w:val="en-NZ"/>
        </w:rPr>
        <w:t>ATNZ</w:t>
      </w:r>
      <w:r w:rsidR="00D72A1B" w:rsidRPr="0003653F">
        <w:rPr>
          <w:rFonts w:cs="Arial"/>
          <w:szCs w:val="20"/>
          <w:lang w:val="en-NZ"/>
        </w:rPr>
        <w:t xml:space="preserve"> before their results can be forwarded to any other person or organisation, unless already specified in an existing agreement between </w:t>
      </w:r>
      <w:r>
        <w:rPr>
          <w:rFonts w:cs="Arial"/>
          <w:szCs w:val="20"/>
          <w:lang w:val="en-NZ"/>
        </w:rPr>
        <w:t>ATNZ</w:t>
      </w:r>
      <w:r w:rsidR="00D72A1B" w:rsidRPr="0003653F">
        <w:rPr>
          <w:rFonts w:cs="Arial"/>
          <w:szCs w:val="20"/>
          <w:lang w:val="en-NZ"/>
        </w:rPr>
        <w:t xml:space="preserve">, the </w:t>
      </w:r>
      <w:r>
        <w:rPr>
          <w:rFonts w:cs="Arial"/>
          <w:szCs w:val="20"/>
          <w:lang w:val="en-NZ"/>
        </w:rPr>
        <w:t>learner</w:t>
      </w:r>
      <w:r w:rsidR="00D23794" w:rsidRPr="0003653F">
        <w:rPr>
          <w:rFonts w:cs="Arial"/>
          <w:szCs w:val="20"/>
          <w:lang w:val="en-NZ"/>
        </w:rPr>
        <w:t xml:space="preserve"> and </w:t>
      </w:r>
      <w:r w:rsidR="00D72A1B" w:rsidRPr="0003653F">
        <w:rPr>
          <w:rFonts w:cs="Arial"/>
          <w:szCs w:val="20"/>
          <w:lang w:val="en-NZ"/>
        </w:rPr>
        <w:t xml:space="preserve">the </w:t>
      </w:r>
      <w:r w:rsidR="006F6AED" w:rsidRPr="0003653F">
        <w:rPr>
          <w:rFonts w:cs="Arial"/>
          <w:szCs w:val="20"/>
          <w:lang w:val="en-NZ"/>
        </w:rPr>
        <w:t xml:space="preserve">person or </w:t>
      </w:r>
      <w:r w:rsidR="00D72A1B" w:rsidRPr="0003653F">
        <w:rPr>
          <w:rFonts w:cs="Arial"/>
          <w:szCs w:val="20"/>
          <w:lang w:val="en-NZ"/>
        </w:rPr>
        <w:t>organisation.</w:t>
      </w:r>
    </w:p>
    <w:p w14:paraId="6BC9FC78" w14:textId="50532783" w:rsidR="00882631" w:rsidRPr="0003653F" w:rsidRDefault="00882631" w:rsidP="00660169">
      <w:pPr>
        <w:pStyle w:val="BlockNumber"/>
        <w:spacing w:after="60"/>
        <w:ind w:left="1587" w:hanging="873"/>
        <w:rPr>
          <w:rFonts w:cs="Arial"/>
          <w:szCs w:val="20"/>
          <w:lang w:val="en-NZ"/>
        </w:rPr>
      </w:pPr>
      <w:r>
        <w:rPr>
          <w:rFonts w:cs="Arial"/>
          <w:szCs w:val="20"/>
          <w:lang w:val="en-NZ"/>
        </w:rPr>
        <w:t xml:space="preserve">It is the responsibility of the </w:t>
      </w:r>
      <w:r w:rsidR="00893B2F">
        <w:rPr>
          <w:rFonts w:cs="Arial"/>
          <w:szCs w:val="20"/>
          <w:lang w:val="en-NZ"/>
        </w:rPr>
        <w:t>learner</w:t>
      </w:r>
      <w:r>
        <w:rPr>
          <w:rFonts w:cs="Arial"/>
          <w:szCs w:val="20"/>
          <w:lang w:val="en-NZ"/>
        </w:rPr>
        <w:t xml:space="preserve"> to ensure that this written </w:t>
      </w:r>
      <w:r w:rsidR="00CF3398">
        <w:rPr>
          <w:rFonts w:cs="Arial"/>
          <w:szCs w:val="20"/>
          <w:lang w:val="en-NZ"/>
        </w:rPr>
        <w:t xml:space="preserve">consent </w:t>
      </w:r>
      <w:r>
        <w:rPr>
          <w:rFonts w:cs="Arial"/>
          <w:szCs w:val="20"/>
          <w:lang w:val="en-NZ"/>
        </w:rPr>
        <w:t xml:space="preserve">is provided to </w:t>
      </w:r>
      <w:r w:rsidR="00893B2F">
        <w:rPr>
          <w:rFonts w:cs="Arial"/>
          <w:szCs w:val="20"/>
          <w:lang w:val="en-NZ"/>
        </w:rPr>
        <w:t>ATNZ</w:t>
      </w:r>
      <w:r>
        <w:rPr>
          <w:rFonts w:cs="Arial"/>
          <w:szCs w:val="20"/>
          <w:lang w:val="en-NZ"/>
        </w:rPr>
        <w:t xml:space="preserve">. </w:t>
      </w:r>
    </w:p>
    <w:p w14:paraId="3EE76807" w14:textId="77777777" w:rsidR="00736967" w:rsidRPr="00032FAF" w:rsidRDefault="00D72A1B" w:rsidP="00CC5604">
      <w:pPr>
        <w:pStyle w:val="Heading2No"/>
        <w:spacing w:before="480"/>
        <w:rPr>
          <w:rFonts w:cs="Arial"/>
          <w:szCs w:val="20"/>
          <w:lang w:val="en-NZ"/>
        </w:rPr>
      </w:pPr>
      <w:r w:rsidRPr="00032FAF">
        <w:rPr>
          <w:rFonts w:cs="Arial"/>
          <w:szCs w:val="20"/>
          <w:lang w:val="en-NZ"/>
        </w:rPr>
        <w:t>Moderation</w:t>
      </w:r>
    </w:p>
    <w:p w14:paraId="4E8EA5B1" w14:textId="00C120B7" w:rsidR="007D762D" w:rsidRPr="0003653F" w:rsidRDefault="002A5CF8" w:rsidP="00660169">
      <w:pPr>
        <w:pStyle w:val="BlockNumber"/>
        <w:spacing w:after="60"/>
        <w:ind w:left="1587" w:hanging="873"/>
        <w:rPr>
          <w:rFonts w:cs="Arial"/>
          <w:szCs w:val="20"/>
          <w:lang w:val="en-NZ"/>
        </w:rPr>
      </w:pPr>
      <w:r w:rsidRPr="0003653F">
        <w:rPr>
          <w:rFonts w:cs="Arial"/>
          <w:szCs w:val="20"/>
          <w:lang w:val="en-NZ"/>
        </w:rPr>
        <w:t>A</w:t>
      </w:r>
      <w:r w:rsidR="001C2115">
        <w:rPr>
          <w:rFonts w:cs="Arial"/>
          <w:szCs w:val="20"/>
          <w:lang w:val="en-NZ"/>
        </w:rPr>
        <w:t xml:space="preserve">ny </w:t>
      </w:r>
      <w:r w:rsidRPr="0003653F">
        <w:rPr>
          <w:rFonts w:cs="Arial"/>
          <w:szCs w:val="20"/>
          <w:lang w:val="en-NZ"/>
        </w:rPr>
        <w:t xml:space="preserve">summative </w:t>
      </w:r>
      <w:r w:rsidR="00D72A1B" w:rsidRPr="0003653F">
        <w:rPr>
          <w:rFonts w:cs="Arial"/>
          <w:szCs w:val="20"/>
          <w:lang w:val="en-NZ"/>
        </w:rPr>
        <w:t>assessment</w:t>
      </w:r>
      <w:r w:rsidR="00567633" w:rsidRPr="0003653F">
        <w:rPr>
          <w:rFonts w:cs="Arial"/>
          <w:szCs w:val="20"/>
          <w:lang w:val="en-NZ"/>
        </w:rPr>
        <w:t>s</w:t>
      </w:r>
      <w:r w:rsidR="00FE4857" w:rsidRPr="0003653F">
        <w:rPr>
          <w:rFonts w:cs="Arial"/>
          <w:szCs w:val="20"/>
          <w:lang w:val="en-NZ"/>
        </w:rPr>
        <w:t xml:space="preserve"> </w:t>
      </w:r>
      <w:r w:rsidR="002551DC" w:rsidRPr="0003653F">
        <w:rPr>
          <w:rFonts w:cs="Arial"/>
          <w:szCs w:val="20"/>
          <w:lang w:val="en-NZ"/>
        </w:rPr>
        <w:t xml:space="preserve">submitted </w:t>
      </w:r>
      <w:r w:rsidR="000D69E4" w:rsidRPr="0003653F">
        <w:rPr>
          <w:rFonts w:cs="Arial"/>
          <w:szCs w:val="20"/>
          <w:lang w:val="en-NZ"/>
        </w:rPr>
        <w:t xml:space="preserve">by </w:t>
      </w:r>
      <w:r w:rsidR="00893B2F">
        <w:rPr>
          <w:rFonts w:cs="Arial"/>
          <w:szCs w:val="20"/>
          <w:lang w:val="en-NZ"/>
        </w:rPr>
        <w:t>learner</w:t>
      </w:r>
      <w:r w:rsidR="000D69E4" w:rsidRPr="0003653F">
        <w:rPr>
          <w:rFonts w:cs="Arial"/>
          <w:szCs w:val="20"/>
          <w:lang w:val="en-NZ"/>
        </w:rPr>
        <w:t>s</w:t>
      </w:r>
      <w:r w:rsidR="00D72A1B" w:rsidRPr="0003653F">
        <w:rPr>
          <w:rFonts w:cs="Arial"/>
          <w:szCs w:val="20"/>
          <w:lang w:val="en-NZ"/>
        </w:rPr>
        <w:t xml:space="preserve"> </w:t>
      </w:r>
      <w:r w:rsidR="00D52DF2">
        <w:rPr>
          <w:rFonts w:cs="Arial"/>
          <w:szCs w:val="20"/>
          <w:lang w:val="en-NZ"/>
        </w:rPr>
        <w:t>may b</w:t>
      </w:r>
      <w:r w:rsidRPr="0003653F">
        <w:rPr>
          <w:rFonts w:cs="Arial"/>
          <w:szCs w:val="20"/>
          <w:lang w:val="en-NZ"/>
        </w:rPr>
        <w:t>e subject to</w:t>
      </w:r>
      <w:r w:rsidR="00D72A1B" w:rsidRPr="0003653F">
        <w:rPr>
          <w:rFonts w:cs="Arial"/>
          <w:szCs w:val="20"/>
          <w:lang w:val="en-NZ"/>
        </w:rPr>
        <w:t xml:space="preserve"> internal and external </w:t>
      </w:r>
      <w:r w:rsidR="0041660C">
        <w:rPr>
          <w:rFonts w:cs="Arial"/>
          <w:szCs w:val="20"/>
          <w:lang w:val="en-NZ"/>
        </w:rPr>
        <w:t xml:space="preserve">post assessment </w:t>
      </w:r>
      <w:r w:rsidR="00D72A1B" w:rsidRPr="0003653F">
        <w:rPr>
          <w:rFonts w:cs="Arial"/>
          <w:szCs w:val="20"/>
          <w:lang w:val="en-NZ"/>
        </w:rPr>
        <w:t>moderation</w:t>
      </w:r>
      <w:r w:rsidR="00524198">
        <w:rPr>
          <w:rFonts w:cs="Arial"/>
          <w:szCs w:val="20"/>
          <w:lang w:val="en-NZ"/>
        </w:rPr>
        <w:t xml:space="preserve"> in accordance with </w:t>
      </w:r>
      <w:r w:rsidR="00C65B3C">
        <w:rPr>
          <w:rFonts w:cs="Arial"/>
          <w:szCs w:val="20"/>
          <w:lang w:val="en-NZ"/>
        </w:rPr>
        <w:t>section 11 of the Academic Regulations</w:t>
      </w:r>
      <w:r w:rsidR="000D69E4" w:rsidRPr="0003653F">
        <w:rPr>
          <w:rFonts w:cs="Arial"/>
          <w:szCs w:val="20"/>
          <w:lang w:val="en-NZ"/>
        </w:rPr>
        <w:t>.</w:t>
      </w:r>
      <w:r w:rsidR="00D72A1B" w:rsidRPr="0003653F">
        <w:rPr>
          <w:rFonts w:cs="Arial"/>
          <w:szCs w:val="20"/>
          <w:lang w:val="en-NZ"/>
        </w:rPr>
        <w:t xml:space="preserve">  </w:t>
      </w:r>
    </w:p>
    <w:p w14:paraId="51774646" w14:textId="77777777" w:rsidR="00902181" w:rsidRPr="00032FAF" w:rsidRDefault="00902181" w:rsidP="00D74B34">
      <w:pPr>
        <w:pStyle w:val="Heading2No"/>
        <w:spacing w:before="320"/>
        <w:rPr>
          <w:rFonts w:cs="Arial"/>
          <w:szCs w:val="20"/>
          <w:lang w:val="en-NZ"/>
        </w:rPr>
      </w:pPr>
      <w:r w:rsidRPr="00032FAF">
        <w:rPr>
          <w:rFonts w:cs="Arial"/>
          <w:szCs w:val="20"/>
          <w:lang w:val="en-NZ"/>
        </w:rPr>
        <w:t>Credit</w:t>
      </w:r>
    </w:p>
    <w:p w14:paraId="67CFD680" w14:textId="3CB18146" w:rsidR="00902181" w:rsidRPr="0003653F" w:rsidRDefault="00902181" w:rsidP="00766BF9">
      <w:pPr>
        <w:pStyle w:val="BlockNumber"/>
        <w:ind w:left="1587" w:hanging="873"/>
        <w:rPr>
          <w:rFonts w:cs="Arial"/>
          <w:szCs w:val="20"/>
          <w:lang w:val="en-NZ"/>
        </w:rPr>
      </w:pPr>
      <w:r w:rsidRPr="0003653F">
        <w:rPr>
          <w:rFonts w:cs="Arial"/>
          <w:szCs w:val="20"/>
          <w:lang w:val="en-NZ"/>
        </w:rPr>
        <w:t xml:space="preserve">Credit </w:t>
      </w:r>
      <w:r w:rsidR="00120C97" w:rsidRPr="0003653F">
        <w:rPr>
          <w:rFonts w:cs="Arial"/>
          <w:szCs w:val="20"/>
          <w:lang w:val="en-NZ"/>
        </w:rPr>
        <w:t xml:space="preserve">for a </w:t>
      </w:r>
      <w:r w:rsidR="006F4C17">
        <w:rPr>
          <w:rFonts w:cs="Arial"/>
          <w:szCs w:val="20"/>
          <w:lang w:val="en-NZ"/>
        </w:rPr>
        <w:t xml:space="preserve">NZQF </w:t>
      </w:r>
      <w:r w:rsidR="009F2615">
        <w:rPr>
          <w:rFonts w:cs="Arial"/>
          <w:szCs w:val="20"/>
          <w:lang w:val="en-NZ"/>
        </w:rPr>
        <w:t xml:space="preserve">standard or </w:t>
      </w:r>
      <w:r w:rsidR="006F4C17">
        <w:rPr>
          <w:rFonts w:cs="Arial"/>
          <w:szCs w:val="20"/>
          <w:lang w:val="en-NZ"/>
        </w:rPr>
        <w:t xml:space="preserve">a </w:t>
      </w:r>
      <w:r w:rsidR="00120C97" w:rsidRPr="0003653F">
        <w:rPr>
          <w:rFonts w:cs="Arial"/>
          <w:szCs w:val="20"/>
          <w:lang w:val="en-NZ"/>
        </w:rPr>
        <w:t xml:space="preserve">course </w:t>
      </w:r>
      <w:r w:rsidR="00B67CF9" w:rsidRPr="0003653F">
        <w:rPr>
          <w:rFonts w:cs="Arial"/>
          <w:szCs w:val="20"/>
          <w:lang w:val="en-NZ"/>
        </w:rPr>
        <w:t>shall</w:t>
      </w:r>
      <w:r w:rsidRPr="0003653F">
        <w:rPr>
          <w:rFonts w:cs="Arial"/>
          <w:szCs w:val="20"/>
          <w:lang w:val="en-NZ"/>
        </w:rPr>
        <w:t xml:space="preserve"> be granted to </w:t>
      </w:r>
      <w:r w:rsidR="00893B2F">
        <w:rPr>
          <w:rFonts w:cs="Arial"/>
          <w:szCs w:val="20"/>
          <w:lang w:val="en-NZ"/>
        </w:rPr>
        <w:t>learner</w:t>
      </w:r>
      <w:r w:rsidRPr="0003653F">
        <w:rPr>
          <w:rFonts w:cs="Arial"/>
          <w:szCs w:val="20"/>
          <w:lang w:val="en-NZ"/>
        </w:rPr>
        <w:t xml:space="preserve">s when the </w:t>
      </w:r>
      <w:r w:rsidR="00AD4779">
        <w:rPr>
          <w:rFonts w:cs="Arial"/>
          <w:szCs w:val="20"/>
          <w:lang w:val="en-NZ"/>
        </w:rPr>
        <w:t xml:space="preserve">assessment for the </w:t>
      </w:r>
      <w:r w:rsidR="00787887">
        <w:rPr>
          <w:rFonts w:cs="Arial"/>
          <w:szCs w:val="20"/>
          <w:lang w:val="en-NZ"/>
        </w:rPr>
        <w:t xml:space="preserve">standard </w:t>
      </w:r>
      <w:r w:rsidR="00AD4779">
        <w:rPr>
          <w:rFonts w:cs="Arial"/>
          <w:szCs w:val="20"/>
          <w:lang w:val="en-NZ"/>
        </w:rPr>
        <w:t xml:space="preserve">has been completed and the learner </w:t>
      </w:r>
      <w:r w:rsidR="005A7F98">
        <w:rPr>
          <w:rFonts w:cs="Arial"/>
          <w:szCs w:val="20"/>
          <w:lang w:val="en-NZ"/>
        </w:rPr>
        <w:t xml:space="preserve">judged to be ‘Competent” </w:t>
      </w:r>
      <w:r w:rsidR="00787887">
        <w:rPr>
          <w:rFonts w:cs="Arial"/>
          <w:szCs w:val="20"/>
          <w:lang w:val="en-NZ"/>
        </w:rPr>
        <w:t xml:space="preserve">or </w:t>
      </w:r>
      <w:r w:rsidR="005A7F98">
        <w:rPr>
          <w:rFonts w:cs="Arial"/>
          <w:szCs w:val="20"/>
          <w:lang w:val="en-NZ"/>
        </w:rPr>
        <w:t xml:space="preserve">where </w:t>
      </w:r>
      <w:r w:rsidRPr="0003653F">
        <w:rPr>
          <w:rFonts w:cs="Arial"/>
          <w:szCs w:val="20"/>
          <w:lang w:val="en-NZ"/>
        </w:rPr>
        <w:t xml:space="preserve">course requirements have been successfully completed and the </w:t>
      </w:r>
      <w:r w:rsidR="001D4973">
        <w:rPr>
          <w:rFonts w:cs="Arial"/>
          <w:szCs w:val="20"/>
          <w:lang w:val="en-NZ"/>
        </w:rPr>
        <w:t xml:space="preserve">Academic </w:t>
      </w:r>
      <w:r w:rsidR="0041660C">
        <w:rPr>
          <w:rFonts w:cs="Arial"/>
          <w:szCs w:val="20"/>
          <w:lang w:val="en-NZ"/>
        </w:rPr>
        <w:t xml:space="preserve">Manager </w:t>
      </w:r>
      <w:r w:rsidRPr="0003653F">
        <w:rPr>
          <w:rFonts w:cs="Arial"/>
          <w:szCs w:val="20"/>
          <w:lang w:val="en-NZ"/>
        </w:rPr>
        <w:t>has approved the final mark/grade.</w:t>
      </w:r>
    </w:p>
    <w:p w14:paraId="2B64DBFF" w14:textId="7C6FB756" w:rsidR="00902181" w:rsidRPr="0003653F" w:rsidRDefault="00902181" w:rsidP="00766BF9">
      <w:pPr>
        <w:pStyle w:val="BlockNumber"/>
        <w:ind w:left="1587" w:hanging="873"/>
        <w:rPr>
          <w:rFonts w:cs="Arial"/>
          <w:szCs w:val="20"/>
          <w:lang w:val="en-NZ"/>
        </w:rPr>
      </w:pPr>
      <w:r w:rsidRPr="0003653F">
        <w:rPr>
          <w:rFonts w:cs="Arial"/>
          <w:szCs w:val="20"/>
          <w:lang w:val="en-NZ"/>
        </w:rPr>
        <w:t xml:space="preserve">Subject to </w:t>
      </w:r>
      <w:r w:rsidR="00FF532D" w:rsidRPr="0003653F">
        <w:rPr>
          <w:rFonts w:cs="Arial"/>
          <w:szCs w:val="20"/>
          <w:lang w:val="en-NZ"/>
        </w:rPr>
        <w:t>s</w:t>
      </w:r>
      <w:r w:rsidRPr="0003653F">
        <w:rPr>
          <w:rFonts w:cs="Arial"/>
          <w:szCs w:val="20"/>
          <w:lang w:val="en-NZ"/>
        </w:rPr>
        <w:t xml:space="preserve">ection </w:t>
      </w:r>
      <w:r w:rsidR="00CC5604">
        <w:rPr>
          <w:rFonts w:cs="Arial"/>
          <w:szCs w:val="20"/>
          <w:lang w:val="en-NZ"/>
        </w:rPr>
        <w:t>10</w:t>
      </w:r>
      <w:r w:rsidR="00262FE4" w:rsidRPr="0003653F">
        <w:rPr>
          <w:rFonts w:cs="Arial"/>
          <w:szCs w:val="20"/>
          <w:lang w:val="en-NZ"/>
        </w:rPr>
        <w:t>.1</w:t>
      </w:r>
      <w:r w:rsidR="00003261">
        <w:rPr>
          <w:rFonts w:cs="Arial"/>
          <w:szCs w:val="20"/>
          <w:lang w:val="en-NZ"/>
        </w:rPr>
        <w:t>4</w:t>
      </w:r>
      <w:r w:rsidR="00DE2B11" w:rsidRPr="0003653F">
        <w:rPr>
          <w:rFonts w:cs="Arial"/>
          <w:szCs w:val="20"/>
          <w:lang w:val="en-NZ"/>
        </w:rPr>
        <w:t>.3</w:t>
      </w:r>
      <w:r w:rsidRPr="0003653F">
        <w:rPr>
          <w:rFonts w:cs="Arial"/>
          <w:szCs w:val="20"/>
          <w:lang w:val="en-NZ"/>
        </w:rPr>
        <w:t>, to be granted credit</w:t>
      </w:r>
      <w:r w:rsidR="008336CB" w:rsidRPr="0003653F">
        <w:rPr>
          <w:rFonts w:cs="Arial"/>
          <w:szCs w:val="20"/>
          <w:lang w:val="en-NZ"/>
        </w:rPr>
        <w:t>,</w:t>
      </w:r>
      <w:r w:rsidR="00DE2B11" w:rsidRPr="0003653F">
        <w:rPr>
          <w:rFonts w:cs="Arial"/>
          <w:szCs w:val="20"/>
          <w:lang w:val="en-NZ"/>
        </w:rPr>
        <w:t xml:space="preserve"> </w:t>
      </w:r>
      <w:r w:rsidR="00893B2F">
        <w:rPr>
          <w:rFonts w:cs="Arial"/>
          <w:szCs w:val="20"/>
          <w:lang w:val="en-NZ"/>
        </w:rPr>
        <w:t>learner</w:t>
      </w:r>
      <w:r w:rsidR="002F764A" w:rsidRPr="0003653F">
        <w:rPr>
          <w:rFonts w:cs="Arial"/>
          <w:szCs w:val="20"/>
          <w:lang w:val="en-NZ"/>
        </w:rPr>
        <w:t>s</w:t>
      </w:r>
      <w:r w:rsidRPr="0003653F">
        <w:rPr>
          <w:rFonts w:cs="Arial"/>
          <w:szCs w:val="20"/>
          <w:lang w:val="en-NZ"/>
        </w:rPr>
        <w:t xml:space="preserve"> must be enrolled in the </w:t>
      </w:r>
      <w:r w:rsidR="00F40B8D" w:rsidRPr="0003653F">
        <w:rPr>
          <w:rFonts w:cs="Arial"/>
          <w:szCs w:val="20"/>
          <w:lang w:val="en-NZ"/>
        </w:rPr>
        <w:t>course</w:t>
      </w:r>
      <w:r w:rsidRPr="0003653F">
        <w:rPr>
          <w:rFonts w:cs="Arial"/>
          <w:szCs w:val="20"/>
          <w:lang w:val="en-NZ"/>
        </w:rPr>
        <w:t xml:space="preserve"> and have paid all fees.</w:t>
      </w:r>
    </w:p>
    <w:p w14:paraId="575883E7" w14:textId="6AAA9DA3" w:rsidR="00A93DFE" w:rsidRPr="00D5512D" w:rsidRDefault="00902181" w:rsidP="00552A68">
      <w:pPr>
        <w:pStyle w:val="BlockNumber"/>
        <w:ind w:left="1587" w:hanging="873"/>
        <w:rPr>
          <w:rFonts w:cs="Arial"/>
          <w:b/>
          <w:color w:val="A6242E"/>
          <w:szCs w:val="20"/>
          <w:lang w:val="en-NZ"/>
        </w:rPr>
      </w:pPr>
      <w:r w:rsidRPr="0003653F">
        <w:rPr>
          <w:rFonts w:cs="Arial"/>
          <w:szCs w:val="20"/>
          <w:lang w:val="en-NZ"/>
        </w:rPr>
        <w:t>Credit may be granted for prior learning in accordance with</w:t>
      </w:r>
      <w:r w:rsidR="00417D66" w:rsidRPr="0003653F">
        <w:rPr>
          <w:rFonts w:cs="Arial"/>
          <w:szCs w:val="20"/>
          <w:lang w:val="en-NZ"/>
        </w:rPr>
        <w:t xml:space="preserve"> </w:t>
      </w:r>
      <w:r w:rsidR="00FF532D" w:rsidRPr="0003653F">
        <w:rPr>
          <w:rFonts w:cs="Arial"/>
          <w:szCs w:val="20"/>
          <w:lang w:val="en-NZ"/>
        </w:rPr>
        <w:t>s</w:t>
      </w:r>
      <w:r w:rsidR="00321CAD" w:rsidRPr="0003653F">
        <w:rPr>
          <w:rFonts w:cs="Arial"/>
          <w:szCs w:val="20"/>
          <w:lang w:val="en-NZ"/>
        </w:rPr>
        <w:t>ection</w:t>
      </w:r>
      <w:r w:rsidRPr="0003653F">
        <w:rPr>
          <w:rFonts w:cs="Arial"/>
          <w:szCs w:val="20"/>
          <w:lang w:val="en-NZ"/>
        </w:rPr>
        <w:t xml:space="preserve"> </w:t>
      </w:r>
      <w:r w:rsidR="0031103F">
        <w:rPr>
          <w:rFonts w:cs="Arial"/>
          <w:szCs w:val="20"/>
          <w:lang w:val="en-NZ"/>
        </w:rPr>
        <w:t>11</w:t>
      </w:r>
      <w:r w:rsidR="006F1BBF">
        <w:rPr>
          <w:rFonts w:cs="Arial"/>
          <w:szCs w:val="20"/>
          <w:lang w:val="en-NZ"/>
        </w:rPr>
        <w:t xml:space="preserve"> of the Academic Regulations</w:t>
      </w:r>
      <w:r w:rsidR="00F13D9D" w:rsidRPr="0003653F">
        <w:rPr>
          <w:rFonts w:cs="Arial"/>
          <w:szCs w:val="20"/>
          <w:lang w:val="en-NZ"/>
        </w:rPr>
        <w:t>:</w:t>
      </w:r>
      <w:r w:rsidR="002D51EE" w:rsidRPr="0003653F">
        <w:rPr>
          <w:rFonts w:cs="Arial"/>
          <w:szCs w:val="20"/>
          <w:lang w:val="en-NZ"/>
        </w:rPr>
        <w:t xml:space="preserve"> Assessment of Prior Learning</w:t>
      </w:r>
      <w:r w:rsidRPr="0003653F">
        <w:rPr>
          <w:rFonts w:cs="Arial"/>
          <w:szCs w:val="20"/>
          <w:lang w:val="en-NZ"/>
        </w:rPr>
        <w:t>.</w:t>
      </w:r>
    </w:p>
    <w:p w14:paraId="487311A2" w14:textId="2E6E6137" w:rsidR="00D5512D" w:rsidRDefault="00D5512D" w:rsidP="00D5512D">
      <w:pPr>
        <w:pStyle w:val="BlockNumber"/>
        <w:numPr>
          <w:ilvl w:val="0"/>
          <w:numId w:val="0"/>
        </w:numPr>
        <w:ind w:left="1587"/>
        <w:rPr>
          <w:rFonts w:cs="Arial"/>
          <w:b/>
          <w:color w:val="A6242E"/>
          <w:szCs w:val="20"/>
          <w:lang w:val="en-NZ"/>
        </w:rPr>
      </w:pPr>
    </w:p>
    <w:p w14:paraId="5B943D24" w14:textId="60FA76D4" w:rsidR="0031103F" w:rsidRDefault="0031103F" w:rsidP="00D5512D">
      <w:pPr>
        <w:pStyle w:val="BlockNumber"/>
        <w:numPr>
          <w:ilvl w:val="0"/>
          <w:numId w:val="0"/>
        </w:numPr>
        <w:ind w:left="1587"/>
        <w:rPr>
          <w:rFonts w:cs="Arial"/>
          <w:b/>
          <w:color w:val="A6242E"/>
          <w:szCs w:val="20"/>
          <w:lang w:val="en-NZ"/>
        </w:rPr>
      </w:pPr>
    </w:p>
    <w:p w14:paraId="03AD7A50" w14:textId="77777777" w:rsidR="0031103F" w:rsidRPr="00A93DFE" w:rsidRDefault="0031103F" w:rsidP="00D5512D">
      <w:pPr>
        <w:pStyle w:val="BlockNumber"/>
        <w:numPr>
          <w:ilvl w:val="0"/>
          <w:numId w:val="0"/>
        </w:numPr>
        <w:ind w:left="1587"/>
        <w:rPr>
          <w:rFonts w:cs="Arial"/>
          <w:b/>
          <w:color w:val="A6242E"/>
          <w:szCs w:val="20"/>
          <w:lang w:val="en-NZ"/>
        </w:rPr>
      </w:pPr>
    </w:p>
    <w:p w14:paraId="537BD6A6" w14:textId="77777777" w:rsidR="003E7CC8" w:rsidRPr="002230A9" w:rsidRDefault="003E7CC8" w:rsidP="004337B2">
      <w:pPr>
        <w:pStyle w:val="Heading1No"/>
      </w:pPr>
      <w:bookmarkStart w:id="51" w:name="_Toc105753604"/>
      <w:bookmarkStart w:id="52" w:name="_Ref221098646"/>
      <w:bookmarkStart w:id="53" w:name="_Toc352741622"/>
      <w:bookmarkStart w:id="54" w:name="_Toc352763809"/>
      <w:r w:rsidRPr="002230A9">
        <w:t xml:space="preserve">Recognition of Prior </w:t>
      </w:r>
      <w:r w:rsidRPr="004337B2">
        <w:rPr>
          <w:rFonts w:eastAsiaTheme="majorEastAsia"/>
        </w:rPr>
        <w:t>Learning</w:t>
      </w:r>
      <w:r w:rsidRPr="002230A9">
        <w:t xml:space="preserve"> and Credit Transfer</w:t>
      </w:r>
      <w:bookmarkEnd w:id="51"/>
      <w:r w:rsidRPr="002230A9">
        <w:t> </w:t>
      </w:r>
    </w:p>
    <w:p w14:paraId="50E6730C" w14:textId="0724B26B" w:rsidR="003E7CC8" w:rsidRPr="007E20EB" w:rsidRDefault="003E7CC8" w:rsidP="003E7CC8">
      <w:pPr>
        <w:pStyle w:val="BlockNumber"/>
        <w:ind w:left="1560"/>
      </w:pPr>
      <w:r w:rsidRPr="007E20EB">
        <w:t xml:space="preserve">The processes by which formal learning and experience is matched against learning outcomes are called recognition of prior learning (RPL) and credit transfer (CT). These may include cross credit (CC), Assessment of Prior </w:t>
      </w:r>
      <w:r w:rsidR="004F1314">
        <w:t>L</w:t>
      </w:r>
      <w:r w:rsidRPr="007E20EB">
        <w:t>earning (APL) and Recognition of Current Competency (RCC). </w:t>
      </w:r>
    </w:p>
    <w:p w14:paraId="33D87DE9" w14:textId="16E02F3F" w:rsidR="003E7CC8" w:rsidRPr="007E20EB" w:rsidRDefault="003E7CC8" w:rsidP="003E7CC8">
      <w:pPr>
        <w:pStyle w:val="BlockNumber"/>
        <w:ind w:left="1560"/>
      </w:pPr>
      <w:r w:rsidRPr="007E20EB">
        <w:t>ATNZ will grant Credit for prior learning where appropriate evidence can be supplied by learners that they meet the learning outcomes of a course or the outcomes of a</w:t>
      </w:r>
      <w:r w:rsidR="006F4C17">
        <w:t xml:space="preserve"> </w:t>
      </w:r>
      <w:proofErr w:type="gramStart"/>
      <w:r w:rsidR="006F4C17">
        <w:t xml:space="preserve">NZQF </w:t>
      </w:r>
      <w:r w:rsidRPr="007E20EB">
        <w:t xml:space="preserve"> standard</w:t>
      </w:r>
      <w:proofErr w:type="gramEnd"/>
      <w:r w:rsidRPr="007E20EB">
        <w:t xml:space="preserve">.  Prior learning might be work based, experiential, attested </w:t>
      </w:r>
      <w:proofErr w:type="gramStart"/>
      <w:r w:rsidRPr="007E20EB">
        <w:t>skills</w:t>
      </w:r>
      <w:proofErr w:type="gramEnd"/>
      <w:r w:rsidRPr="007E20EB">
        <w:t xml:space="preserve"> or formal </w:t>
      </w:r>
      <w:r w:rsidR="006F4C17">
        <w:t>l</w:t>
      </w:r>
      <w:r w:rsidRPr="007E20EB">
        <w:t>earning. </w:t>
      </w:r>
    </w:p>
    <w:p w14:paraId="1363125D" w14:textId="77777777" w:rsidR="003E7CC8" w:rsidRPr="007E20EB" w:rsidRDefault="003E7CC8" w:rsidP="003E7CC8">
      <w:pPr>
        <w:pStyle w:val="BlockNumber"/>
        <w:ind w:left="1560"/>
      </w:pPr>
      <w:r w:rsidRPr="007E20EB">
        <w:t>ATNZ shall apply assessment</w:t>
      </w:r>
      <w:r w:rsidRPr="007E20EB">
        <w:rPr>
          <w:b/>
          <w:bCs/>
        </w:rPr>
        <w:t xml:space="preserve"> </w:t>
      </w:r>
      <w:r w:rsidRPr="007E20EB">
        <w:t>of prior learning according to the following principles: </w:t>
      </w:r>
    </w:p>
    <w:p w14:paraId="5AC42E89" w14:textId="77777777" w:rsidR="003E7CC8" w:rsidRPr="007E20EB" w:rsidRDefault="003E7CC8" w:rsidP="00566D87">
      <w:pPr>
        <w:pStyle w:val="BlockText"/>
        <w:numPr>
          <w:ilvl w:val="0"/>
          <w:numId w:val="29"/>
        </w:numPr>
      </w:pPr>
      <w:r w:rsidRPr="007E20EB">
        <w:t xml:space="preserve">The process of granting credit for prior learning shall be educationally sound, fair, consistent, efficient, effective and </w:t>
      </w:r>
      <w:proofErr w:type="gramStart"/>
      <w:r w:rsidRPr="007E20EB">
        <w:t>timely;</w:t>
      </w:r>
      <w:proofErr w:type="gramEnd"/>
      <w:r w:rsidRPr="007E20EB">
        <w:t> </w:t>
      </w:r>
    </w:p>
    <w:p w14:paraId="333A12D0" w14:textId="77777777" w:rsidR="003E7CC8" w:rsidRPr="007E20EB" w:rsidRDefault="003E7CC8" w:rsidP="00566D87">
      <w:pPr>
        <w:pStyle w:val="BlockText"/>
        <w:numPr>
          <w:ilvl w:val="0"/>
          <w:numId w:val="29"/>
        </w:numPr>
      </w:pPr>
      <w:r w:rsidRPr="007E20EB">
        <w:t xml:space="preserve">The workplace/non-formal learning environment can provide equivalent learning opportunities to those provided in formal </w:t>
      </w:r>
      <w:proofErr w:type="gramStart"/>
      <w:r w:rsidRPr="007E20EB">
        <w:t>study;</w:t>
      </w:r>
      <w:proofErr w:type="gramEnd"/>
      <w:r w:rsidRPr="007E20EB">
        <w:t> </w:t>
      </w:r>
    </w:p>
    <w:p w14:paraId="55F0959F" w14:textId="77777777" w:rsidR="003E7CC8" w:rsidRPr="007E20EB" w:rsidRDefault="003E7CC8" w:rsidP="00566D87">
      <w:pPr>
        <w:pStyle w:val="BlockText"/>
        <w:numPr>
          <w:ilvl w:val="0"/>
          <w:numId w:val="29"/>
        </w:numPr>
      </w:pPr>
      <w:r w:rsidRPr="007E20EB">
        <w:t xml:space="preserve">Workplace/non-academic performance can provide equivalent evidence to that associated with formal </w:t>
      </w:r>
      <w:proofErr w:type="gramStart"/>
      <w:r w:rsidRPr="007E20EB">
        <w:t>study;</w:t>
      </w:r>
      <w:proofErr w:type="gramEnd"/>
      <w:r w:rsidRPr="007E20EB">
        <w:t> </w:t>
      </w:r>
    </w:p>
    <w:p w14:paraId="09A8C95C" w14:textId="77777777" w:rsidR="003E7CC8" w:rsidRPr="007E20EB" w:rsidRDefault="003E7CC8" w:rsidP="00566D87">
      <w:pPr>
        <w:pStyle w:val="BlockText"/>
        <w:numPr>
          <w:ilvl w:val="0"/>
          <w:numId w:val="29"/>
        </w:numPr>
      </w:pPr>
      <w:r w:rsidRPr="007E20EB">
        <w:t xml:space="preserve">Applicants must provide appropriate evidence for assessment of prior </w:t>
      </w:r>
      <w:proofErr w:type="gramStart"/>
      <w:r w:rsidRPr="007E20EB">
        <w:t>learning;</w:t>
      </w:r>
      <w:proofErr w:type="gramEnd"/>
      <w:r w:rsidRPr="007E20EB">
        <w:t> </w:t>
      </w:r>
    </w:p>
    <w:p w14:paraId="2B4184AC" w14:textId="77777777" w:rsidR="003E7CC8" w:rsidRPr="007E20EB" w:rsidRDefault="003E7CC8" w:rsidP="00566D87">
      <w:pPr>
        <w:pStyle w:val="BlockText"/>
        <w:numPr>
          <w:ilvl w:val="0"/>
          <w:numId w:val="29"/>
        </w:numPr>
      </w:pPr>
      <w:r w:rsidRPr="007E20EB">
        <w:t xml:space="preserve">The assessor shall determine equivalence in the assessment of prior </w:t>
      </w:r>
      <w:proofErr w:type="gramStart"/>
      <w:r w:rsidRPr="007E20EB">
        <w:t>learning;</w:t>
      </w:r>
      <w:proofErr w:type="gramEnd"/>
      <w:r w:rsidRPr="007E20EB">
        <w:t>  </w:t>
      </w:r>
    </w:p>
    <w:p w14:paraId="0B8B8172" w14:textId="77777777" w:rsidR="003E7CC8" w:rsidRPr="007E20EB" w:rsidRDefault="003E7CC8" w:rsidP="00566D87">
      <w:pPr>
        <w:pStyle w:val="BlockText"/>
        <w:numPr>
          <w:ilvl w:val="0"/>
          <w:numId w:val="29"/>
        </w:numPr>
      </w:pPr>
      <w:r w:rsidRPr="007E20EB">
        <w:t xml:space="preserve">The workplace/non-formal experience of every individual is unique and so assessment of prior learning applications shall be considered on an individual </w:t>
      </w:r>
      <w:proofErr w:type="gramStart"/>
      <w:r w:rsidRPr="007E20EB">
        <w:t>basis;</w:t>
      </w:r>
      <w:proofErr w:type="gramEnd"/>
      <w:r w:rsidRPr="007E20EB">
        <w:t> </w:t>
      </w:r>
    </w:p>
    <w:p w14:paraId="01F1A66B" w14:textId="67FDD901" w:rsidR="003E7CC8" w:rsidRPr="007E20EB" w:rsidRDefault="0076101A" w:rsidP="00566D87">
      <w:pPr>
        <w:pStyle w:val="BlockText"/>
        <w:numPr>
          <w:ilvl w:val="0"/>
          <w:numId w:val="29"/>
        </w:numPr>
      </w:pPr>
      <w:r>
        <w:lastRenderedPageBreak/>
        <w:t xml:space="preserve">NZQF </w:t>
      </w:r>
      <w:r w:rsidR="003E7CC8" w:rsidRPr="007E20EB">
        <w:t xml:space="preserve">standards may be awarded </w:t>
      </w:r>
      <w:proofErr w:type="gramStart"/>
      <w:r w:rsidR="003E7CC8" w:rsidRPr="007E20EB">
        <w:t>on the basis of</w:t>
      </w:r>
      <w:proofErr w:type="gramEnd"/>
      <w:r w:rsidR="003E7CC8" w:rsidRPr="007E20EB">
        <w:t xml:space="preserve"> Recognition of Prior Learning where ATNZ is satisfied that the leaner has provided </w:t>
      </w:r>
      <w:r w:rsidR="0032566A">
        <w:t xml:space="preserve">evidence </w:t>
      </w:r>
      <w:r w:rsidR="003E7CC8" w:rsidRPr="007E20EB">
        <w:t>of their competence in all outcomes of the standard.    </w:t>
      </w:r>
    </w:p>
    <w:p w14:paraId="2E8A0C99" w14:textId="421DEF10" w:rsidR="003E7CC8" w:rsidRPr="007E20EB" w:rsidRDefault="003E7CC8" w:rsidP="00566D87">
      <w:pPr>
        <w:pStyle w:val="BlockText"/>
        <w:numPr>
          <w:ilvl w:val="0"/>
          <w:numId w:val="29"/>
        </w:numPr>
      </w:pPr>
      <w:r w:rsidRPr="007E20EB">
        <w:t xml:space="preserve">Credit may be granted other than for </w:t>
      </w:r>
      <w:r w:rsidR="0076101A">
        <w:t xml:space="preserve">NZQF </w:t>
      </w:r>
      <w:r w:rsidRPr="007E20EB">
        <w:t xml:space="preserve">Standards when evidence of prior learning is determined to satisfy ATNZ course or programme </w:t>
      </w:r>
      <w:proofErr w:type="gramStart"/>
      <w:r w:rsidRPr="007E20EB">
        <w:t>outcomes;</w:t>
      </w:r>
      <w:proofErr w:type="gramEnd"/>
      <w:r w:rsidRPr="007E20EB">
        <w:t> </w:t>
      </w:r>
    </w:p>
    <w:p w14:paraId="01120621" w14:textId="39FCEB3B" w:rsidR="003E7CC8" w:rsidRPr="007E20EB" w:rsidRDefault="003E7CC8" w:rsidP="00566D87">
      <w:pPr>
        <w:pStyle w:val="BlockText"/>
        <w:numPr>
          <w:ilvl w:val="0"/>
          <w:numId w:val="29"/>
        </w:numPr>
      </w:pPr>
      <w:r w:rsidRPr="007E20EB">
        <w:t xml:space="preserve">A Programme of Industry Training or a Programme of Study comprising only </w:t>
      </w:r>
      <w:r w:rsidR="0076101A">
        <w:t xml:space="preserve">NZQF </w:t>
      </w:r>
      <w:r w:rsidRPr="007E20EB">
        <w:t xml:space="preserve">Standards may only be awarded through the completion of all required </w:t>
      </w:r>
      <w:r w:rsidR="0076101A">
        <w:t xml:space="preserve">NZQF </w:t>
      </w:r>
      <w:r w:rsidR="0081576A">
        <w:t>st</w:t>
      </w:r>
      <w:r w:rsidRPr="007E20EB">
        <w:t xml:space="preserve">andards; RPL and CT may be used to award the component </w:t>
      </w:r>
      <w:r w:rsidR="0081576A">
        <w:t xml:space="preserve">NZQF </w:t>
      </w:r>
      <w:r w:rsidRPr="007E20EB">
        <w:t>Standard but not the Programme itself.   </w:t>
      </w:r>
    </w:p>
    <w:p w14:paraId="2B81E17A" w14:textId="77777777" w:rsidR="003E7CC8" w:rsidRPr="007E20EB" w:rsidRDefault="003E7CC8" w:rsidP="00566D87">
      <w:pPr>
        <w:pStyle w:val="BlockText"/>
        <w:numPr>
          <w:ilvl w:val="0"/>
          <w:numId w:val="29"/>
        </w:numPr>
      </w:pPr>
      <w:r w:rsidRPr="007E20EB">
        <w:t>Applicants who have been assessed as having the knowledge and skills equivalent to a course or assessment standard approved for RPL in the programme regulations shall be granted credit for it. </w:t>
      </w:r>
    </w:p>
    <w:p w14:paraId="30B3D5B9" w14:textId="77777777" w:rsidR="003E7CC8" w:rsidRPr="007E20EB" w:rsidRDefault="003E7CC8" w:rsidP="00566D87">
      <w:pPr>
        <w:pStyle w:val="BlockText"/>
        <w:numPr>
          <w:ilvl w:val="0"/>
          <w:numId w:val="29"/>
        </w:numPr>
      </w:pPr>
      <w:r w:rsidRPr="007E20EB">
        <w:t>A fee that reflects the time and administration required to assess applications will be charged for assessment of prior learning. This fee may vary with the complexity of the process required to consider and assess applications. The applicable fee must be paid before Recognition of Prior Learning or Credit Transfer will be granted. </w:t>
      </w:r>
    </w:p>
    <w:p w14:paraId="7E1AD55C" w14:textId="77777777" w:rsidR="003E7CC8" w:rsidRPr="007E20EB" w:rsidRDefault="003E7CC8" w:rsidP="003E7CC8">
      <w:pPr>
        <w:pStyle w:val="BlockNumber"/>
        <w:ind w:left="1560"/>
      </w:pPr>
      <w:r w:rsidRPr="007E20EB">
        <w:t>Assessment of prior learning for some qualifications may be governed by policies and procedures set by external regulatory bodies or programme owners. In such cases those requirements shall take precedence. </w:t>
      </w:r>
    </w:p>
    <w:p w14:paraId="667826FD" w14:textId="77777777" w:rsidR="003E7CC8" w:rsidRPr="007E20EB" w:rsidRDefault="003E7CC8" w:rsidP="003E7CC8">
      <w:pPr>
        <w:pStyle w:val="BlockNumber"/>
        <w:ind w:left="1560"/>
      </w:pPr>
      <w:r w:rsidRPr="007E20EB">
        <w:t xml:space="preserve">Learners </w:t>
      </w:r>
      <w:proofErr w:type="gramStart"/>
      <w:r w:rsidRPr="007E20EB">
        <w:t>are able to</w:t>
      </w:r>
      <w:proofErr w:type="gramEnd"/>
      <w:r w:rsidRPr="007E20EB">
        <w:t xml:space="preserve"> seek Recognition of Prior Learning or Credit Transfer at any time during their programme but should generally seek this before the start of the course or programme.  </w:t>
      </w:r>
    </w:p>
    <w:p w14:paraId="2A7CA42F" w14:textId="77777777" w:rsidR="003E7CC8" w:rsidRPr="007E20EB" w:rsidRDefault="003E7CC8" w:rsidP="003E7CC8">
      <w:pPr>
        <w:pStyle w:val="BlockNumber"/>
        <w:ind w:left="1560"/>
      </w:pPr>
      <w:r w:rsidRPr="007E20EB">
        <w:t>Funding will not be claimed from the Tertiary Education Commission for any component of a programme where credit is obtained through Recognition of Prior Learning. </w:t>
      </w:r>
    </w:p>
    <w:p w14:paraId="0AB3649C" w14:textId="77777777" w:rsidR="003E7CC8" w:rsidRDefault="003E7CC8" w:rsidP="003E7CC8">
      <w:pPr>
        <w:pStyle w:val="BlockNumber"/>
        <w:ind w:left="1560"/>
      </w:pPr>
      <w:r w:rsidRPr="007E20EB">
        <w:t>ATNZ will appoint an Advisor to guide learners in understanding and applying for Recognition of Prior Learning or Credit Transfer on request through email to the Learner Support Manager.     </w:t>
      </w:r>
    </w:p>
    <w:p w14:paraId="1F277DBB" w14:textId="77777777" w:rsidR="003E7CC8" w:rsidRDefault="003E7CC8" w:rsidP="003E7CC8">
      <w:pPr>
        <w:pStyle w:val="Heading2No"/>
      </w:pPr>
      <w:r w:rsidRPr="007E20EB">
        <w:t>Credit Transfer </w:t>
      </w:r>
    </w:p>
    <w:p w14:paraId="490F263B" w14:textId="77777777" w:rsidR="003E7CC8" w:rsidRPr="007E20EB" w:rsidRDefault="003E7CC8" w:rsidP="003E7CC8">
      <w:pPr>
        <w:pStyle w:val="BlockNumber"/>
        <w:ind w:left="1560"/>
      </w:pPr>
      <w:r w:rsidRPr="007E20EB">
        <w:t>Learners who have previously gained NQF standards that are included in ATNZ programmes will automatically receive credit transfer for these.  </w:t>
      </w:r>
    </w:p>
    <w:p w14:paraId="653A8138" w14:textId="44B2F311" w:rsidR="003E7CC8" w:rsidRPr="007E20EB" w:rsidRDefault="003E7CC8" w:rsidP="003E7CC8">
      <w:pPr>
        <w:pStyle w:val="BlockNumber"/>
        <w:ind w:left="1560"/>
      </w:pPr>
      <w:r w:rsidRPr="007E20EB">
        <w:t>Other applicants must complete an application and submit this along with their Record of Learning or Academic Transcript to the Registrar. The Academic Manager (or their specified delegate) will consider applications and ensure that credit is granted and recorded in the Student/Trainee Management System in accordance with ATNZ procedures.   </w:t>
      </w:r>
    </w:p>
    <w:p w14:paraId="107C2EBE" w14:textId="77777777" w:rsidR="003E7CC8" w:rsidRPr="00664E43" w:rsidRDefault="003E7CC8" w:rsidP="003E7CC8">
      <w:pPr>
        <w:pStyle w:val="Heading2No"/>
      </w:pPr>
      <w:r w:rsidRPr="007E20EB">
        <w:t>Cross Credit</w:t>
      </w:r>
    </w:p>
    <w:p w14:paraId="0719E9FF" w14:textId="77777777" w:rsidR="003E7CC8" w:rsidRDefault="003E7CC8" w:rsidP="003E7CC8">
      <w:pPr>
        <w:pStyle w:val="BlockNumber"/>
        <w:ind w:left="1560"/>
      </w:pPr>
      <w:r w:rsidRPr="007E20EB">
        <w:t xml:space="preserve">Learners will be granted credit towards the completion of a course or programme </w:t>
      </w:r>
      <w:proofErr w:type="gramStart"/>
      <w:r w:rsidRPr="007E20EB">
        <w:t>on the basis of</w:t>
      </w:r>
      <w:proofErr w:type="gramEnd"/>
      <w:r w:rsidRPr="007E20EB">
        <w:t xml:space="preserve"> verified academic evidence of successful completion of the same or similar learning outcomes in another </w:t>
      </w:r>
      <w:proofErr w:type="spellStart"/>
      <w:r w:rsidRPr="007E20EB">
        <w:t>recognised</w:t>
      </w:r>
      <w:proofErr w:type="spellEnd"/>
      <w:r w:rsidRPr="007E20EB">
        <w:t xml:space="preserve"> course or </w:t>
      </w:r>
      <w:proofErr w:type="spellStart"/>
      <w:r w:rsidRPr="007E20EB">
        <w:t>programme</w:t>
      </w:r>
      <w:proofErr w:type="spellEnd"/>
      <w:r w:rsidRPr="007E20EB">
        <w:t xml:space="preserve">. </w:t>
      </w:r>
    </w:p>
    <w:p w14:paraId="08328D3E" w14:textId="77777777" w:rsidR="003E7CC8" w:rsidRDefault="003E7CC8" w:rsidP="003E7CC8">
      <w:pPr>
        <w:pStyle w:val="BlockNumber"/>
        <w:ind w:left="1560"/>
      </w:pPr>
      <w:r>
        <w:t>A</w:t>
      </w:r>
      <w:r w:rsidRPr="007E20EB">
        <w:t>pplicants must complete an application and submit this along with all supporting documentation to the Registrar. Applications will be considered by two members of the Academic Committee with expertise in considering cross credits.   </w:t>
      </w:r>
    </w:p>
    <w:p w14:paraId="16614071" w14:textId="2E7A1CFC" w:rsidR="003E7CC8" w:rsidRDefault="003E7CC8" w:rsidP="003E7CC8">
      <w:pPr>
        <w:pStyle w:val="BlockNumber"/>
        <w:numPr>
          <w:ilvl w:val="0"/>
          <w:numId w:val="0"/>
        </w:numPr>
        <w:ind w:left="1560"/>
      </w:pPr>
    </w:p>
    <w:p w14:paraId="1DB6BFF3" w14:textId="4174301A" w:rsidR="0031103F" w:rsidRDefault="0031103F" w:rsidP="003E7CC8">
      <w:pPr>
        <w:pStyle w:val="BlockNumber"/>
        <w:numPr>
          <w:ilvl w:val="0"/>
          <w:numId w:val="0"/>
        </w:numPr>
        <w:ind w:left="1560"/>
      </w:pPr>
    </w:p>
    <w:p w14:paraId="216625EC" w14:textId="77777777" w:rsidR="00096E65" w:rsidRDefault="00096E65" w:rsidP="003E7CC8">
      <w:pPr>
        <w:pStyle w:val="BlockNumber"/>
        <w:numPr>
          <w:ilvl w:val="0"/>
          <w:numId w:val="0"/>
        </w:numPr>
        <w:ind w:left="1560"/>
      </w:pPr>
    </w:p>
    <w:p w14:paraId="2BF1FC61" w14:textId="77777777" w:rsidR="003E7CC8" w:rsidRPr="007E20EB" w:rsidRDefault="003E7CC8" w:rsidP="003E7CC8">
      <w:pPr>
        <w:pStyle w:val="BlockNumber"/>
        <w:numPr>
          <w:ilvl w:val="0"/>
          <w:numId w:val="0"/>
        </w:numPr>
        <w:ind w:left="1560"/>
      </w:pPr>
    </w:p>
    <w:p w14:paraId="7D6BDA18" w14:textId="77777777" w:rsidR="003E7CC8" w:rsidRPr="0089343A" w:rsidRDefault="003E7CC8" w:rsidP="004337B2">
      <w:pPr>
        <w:pStyle w:val="Heading1No"/>
      </w:pPr>
      <w:bookmarkStart w:id="55" w:name="_Toc105753605"/>
      <w:r w:rsidRPr="0089343A">
        <w:t xml:space="preserve">Assessment </w:t>
      </w:r>
      <w:r w:rsidRPr="004337B2">
        <w:rPr>
          <w:rFonts w:eastAsiaTheme="majorEastAsia"/>
        </w:rPr>
        <w:t>of</w:t>
      </w:r>
      <w:r w:rsidRPr="0089343A">
        <w:t xml:space="preserve"> </w:t>
      </w:r>
      <w:r w:rsidRPr="0089343A">
        <w:rPr>
          <w:rFonts w:eastAsiaTheme="majorEastAsia"/>
        </w:rPr>
        <w:t>Prior</w:t>
      </w:r>
      <w:r w:rsidRPr="0089343A">
        <w:t xml:space="preserve"> Learning (APL) / Recognition of Current Competency (RCC)</w:t>
      </w:r>
      <w:bookmarkEnd w:id="55"/>
      <w:r w:rsidRPr="0089343A">
        <w:t> </w:t>
      </w:r>
    </w:p>
    <w:p w14:paraId="2D9AC826" w14:textId="11CB801E" w:rsidR="003E7CC8" w:rsidRPr="007E20EB" w:rsidRDefault="003E7CC8" w:rsidP="00566D87">
      <w:pPr>
        <w:pStyle w:val="BlockNumber"/>
        <w:ind w:left="1560"/>
      </w:pPr>
      <w:r w:rsidRPr="007E20EB">
        <w:t>These processe</w:t>
      </w:r>
      <w:r w:rsidR="007730D0">
        <w:t>s</w:t>
      </w:r>
      <w:r w:rsidRPr="007E20EB">
        <w:t xml:space="preserve"> are used to identify or </w:t>
      </w:r>
      <w:proofErr w:type="spellStart"/>
      <w:r w:rsidRPr="007E20EB">
        <w:t>recognise</w:t>
      </w:r>
      <w:proofErr w:type="spellEnd"/>
      <w:r w:rsidRPr="007E20EB">
        <w:t xml:space="preserve"> current skills and knowledge that are required to support a formal qualification. This is done by challenge assessment and/or a collection of evidence using different forms such as portfolios, assessments, observations, attestation and validation or other methods which meet moderation requirements. </w:t>
      </w:r>
    </w:p>
    <w:p w14:paraId="25FD3658" w14:textId="62D82CDC" w:rsidR="003E7CC8" w:rsidRPr="007E20EB" w:rsidRDefault="003E7CC8" w:rsidP="00566D87">
      <w:pPr>
        <w:pStyle w:val="BlockNumber"/>
        <w:ind w:left="1560"/>
      </w:pPr>
      <w:r w:rsidRPr="007E20EB">
        <w:t xml:space="preserve">No partial credits will be awarded for </w:t>
      </w:r>
      <w:r w:rsidR="0081576A">
        <w:t xml:space="preserve">NZQF </w:t>
      </w:r>
      <w:r w:rsidRPr="007E20EB">
        <w:t xml:space="preserve">standards or individual competency assessments. APL/RCC can be granted only to learners who can demonstrate that they meet all of the learning outcomes for that </w:t>
      </w:r>
      <w:r w:rsidR="0081576A">
        <w:t xml:space="preserve">NZQF </w:t>
      </w:r>
      <w:r w:rsidRPr="007E20EB">
        <w:t xml:space="preserve">standard or competency </w:t>
      </w:r>
      <w:proofErr w:type="gramStart"/>
      <w:r w:rsidRPr="007E20EB">
        <w:t>assessment</w:t>
      </w:r>
      <w:proofErr w:type="gramEnd"/>
      <w:r w:rsidRPr="007E20EB">
        <w:t> </w:t>
      </w:r>
    </w:p>
    <w:p w14:paraId="7E1A8DF4" w14:textId="77777777" w:rsidR="003E7CC8" w:rsidRPr="007E20EB" w:rsidRDefault="003E7CC8" w:rsidP="00566D87">
      <w:pPr>
        <w:pStyle w:val="BlockNumber"/>
        <w:ind w:left="1560"/>
      </w:pPr>
      <w:r w:rsidRPr="007E20EB">
        <w:t xml:space="preserve">APL/RCC will only be considered and awarded for the programme in which the learner is enrolled to </w:t>
      </w:r>
      <w:proofErr w:type="gramStart"/>
      <w:r w:rsidRPr="007E20EB">
        <w:t>study</w:t>
      </w:r>
      <w:proofErr w:type="gramEnd"/>
      <w:r w:rsidRPr="007E20EB">
        <w:t> </w:t>
      </w:r>
    </w:p>
    <w:p w14:paraId="5BC4CE7D" w14:textId="77777777" w:rsidR="003E7CC8" w:rsidRPr="007E20EB" w:rsidRDefault="003E7CC8" w:rsidP="00566D87">
      <w:pPr>
        <w:pStyle w:val="BlockNumber"/>
        <w:ind w:left="1560"/>
      </w:pPr>
      <w:r w:rsidRPr="007E20EB">
        <w:t>Learners should generally apply for APL/RCC preferably before but no later than the end of the first week after the course or programme start date. APL/RCC will be based on work experience, independent study, personal experience or through prior study of other programmes.  </w:t>
      </w:r>
    </w:p>
    <w:p w14:paraId="28326D33" w14:textId="77777777" w:rsidR="003E7CC8" w:rsidRPr="007E20EB" w:rsidRDefault="003E7CC8" w:rsidP="00566D87">
      <w:pPr>
        <w:pStyle w:val="BlockNumber"/>
        <w:ind w:left="1560"/>
      </w:pPr>
      <w:r w:rsidRPr="007E20EB">
        <w:t>Applications for APL/RCC must be made on the appropriate form and submitted to the Registrar and forwarded to the Academic Manager. </w:t>
      </w:r>
    </w:p>
    <w:p w14:paraId="31940490" w14:textId="77777777" w:rsidR="003E7CC8" w:rsidRPr="007E20EB" w:rsidRDefault="003E7CC8" w:rsidP="00566D87">
      <w:pPr>
        <w:pStyle w:val="BlockNumber"/>
        <w:ind w:left="1560"/>
      </w:pPr>
      <w:r w:rsidRPr="007E20EB">
        <w:t>On receipt of an application, the Academic Manager will identify a process for assessing the application and determine a fee that will be charged for this. This fee will be advised to the applicant who must agree and pay this fee before the application will be considered.  </w:t>
      </w:r>
    </w:p>
    <w:p w14:paraId="167FC349" w14:textId="77777777" w:rsidR="003E7CC8" w:rsidRPr="007E20EB" w:rsidRDefault="003E7CC8" w:rsidP="00566D87">
      <w:pPr>
        <w:pStyle w:val="BlockNumber"/>
        <w:ind w:left="1560"/>
      </w:pPr>
      <w:r w:rsidRPr="007E20EB">
        <w:t>On the applicant’s payment of the fee, the Academic Manager will appoint an assessor with expertise in APL/RCC and in the specific programme to consider the application. </w:t>
      </w:r>
    </w:p>
    <w:p w14:paraId="3E73791F" w14:textId="77777777" w:rsidR="003E7CC8" w:rsidRPr="007E20EB" w:rsidRDefault="003E7CC8" w:rsidP="00566D87">
      <w:pPr>
        <w:pStyle w:val="BlockNumber"/>
        <w:ind w:left="1560"/>
      </w:pPr>
      <w:r w:rsidRPr="007E20EB">
        <w:t>The assessment outcome shall be advised to the applicant within 10 working days of their fee payment. </w:t>
      </w:r>
    </w:p>
    <w:p w14:paraId="6EFA7D8A" w14:textId="77777777" w:rsidR="003E7CC8" w:rsidRPr="007E20EB" w:rsidRDefault="003E7CC8" w:rsidP="00566D87">
      <w:pPr>
        <w:pStyle w:val="BlockNumber"/>
        <w:ind w:left="1560"/>
      </w:pPr>
      <w:r w:rsidRPr="007E20EB">
        <w:t xml:space="preserve">A successful assessment of prior learning may result in the award of credits for specified courses which will be recorded as passes in one or more courses or against a set of </w:t>
      </w:r>
      <w:proofErr w:type="gramStart"/>
      <w:r w:rsidRPr="007E20EB">
        <w:t>particular learning</w:t>
      </w:r>
      <w:proofErr w:type="gramEnd"/>
      <w:r w:rsidRPr="007E20EB">
        <w:t xml:space="preserve"> outcomes in a course.   </w:t>
      </w:r>
    </w:p>
    <w:p w14:paraId="1AAF0AD3" w14:textId="77777777" w:rsidR="003E7CC8" w:rsidRPr="007E20EB" w:rsidRDefault="003E7CC8" w:rsidP="00566D87">
      <w:pPr>
        <w:pStyle w:val="BlockNumber"/>
        <w:ind w:left="1560"/>
      </w:pPr>
      <w:r w:rsidRPr="007E20EB">
        <w:t>APL/RCC assessment shall be moderated in accordance with the Academic Regulations.  </w:t>
      </w:r>
    </w:p>
    <w:p w14:paraId="483F0583" w14:textId="216DEF7E" w:rsidR="003E7CC8" w:rsidRDefault="003E7CC8" w:rsidP="00566D87">
      <w:pPr>
        <w:pStyle w:val="BlockNumber"/>
        <w:ind w:left="1560"/>
      </w:pPr>
      <w:r w:rsidRPr="007E20EB">
        <w:t xml:space="preserve">Further information on the process for assessment of prior learning and associated fees is available from </w:t>
      </w:r>
      <w:proofErr w:type="gramStart"/>
      <w:r w:rsidRPr="007E20EB">
        <w:t>ATNZ</w:t>
      </w:r>
      <w:proofErr w:type="gramEnd"/>
      <w:r w:rsidRPr="007E20EB">
        <w:t>  </w:t>
      </w:r>
    </w:p>
    <w:p w14:paraId="11896C73" w14:textId="782845BC" w:rsidR="00566D87" w:rsidRDefault="00566D87" w:rsidP="00566D87">
      <w:pPr>
        <w:pStyle w:val="Heading1No"/>
        <w:numPr>
          <w:ilvl w:val="0"/>
          <w:numId w:val="0"/>
        </w:numPr>
        <w:ind w:left="357"/>
      </w:pPr>
    </w:p>
    <w:p w14:paraId="3C082DFD" w14:textId="20D923F2" w:rsidR="00566D87" w:rsidRDefault="00566D87" w:rsidP="00566D87">
      <w:pPr>
        <w:pStyle w:val="Heading1No"/>
        <w:numPr>
          <w:ilvl w:val="0"/>
          <w:numId w:val="0"/>
        </w:numPr>
        <w:ind w:left="357"/>
      </w:pPr>
    </w:p>
    <w:p w14:paraId="4544B702" w14:textId="77777777" w:rsidR="00566D87" w:rsidRPr="007E20EB" w:rsidRDefault="00566D87" w:rsidP="00566D87">
      <w:pPr>
        <w:pStyle w:val="Heading1No"/>
        <w:numPr>
          <w:ilvl w:val="0"/>
          <w:numId w:val="0"/>
        </w:numPr>
        <w:ind w:left="357"/>
      </w:pPr>
    </w:p>
    <w:p w14:paraId="335A5E71" w14:textId="77777777" w:rsidR="00341A62" w:rsidRPr="00032FAF" w:rsidRDefault="00882631" w:rsidP="004337B2">
      <w:pPr>
        <w:pStyle w:val="Heading1No"/>
      </w:pPr>
      <w:bookmarkStart w:id="56" w:name="_Toc105753606"/>
      <w:proofErr w:type="spellStart"/>
      <w:r>
        <w:t>Misbehaviour</w:t>
      </w:r>
      <w:proofErr w:type="spellEnd"/>
      <w:r>
        <w:t xml:space="preserve"> and </w:t>
      </w:r>
      <w:r w:rsidR="00341A62" w:rsidRPr="00032FAF">
        <w:t>Misconduct</w:t>
      </w:r>
      <w:bookmarkEnd w:id="52"/>
      <w:bookmarkEnd w:id="53"/>
      <w:bookmarkEnd w:id="54"/>
      <w:bookmarkEnd w:id="56"/>
    </w:p>
    <w:p w14:paraId="2CE5DF62" w14:textId="77777777" w:rsidR="00341A62" w:rsidRPr="00032FAF" w:rsidRDefault="00341A62" w:rsidP="00C67A65">
      <w:pPr>
        <w:pStyle w:val="Heading2No"/>
        <w:spacing w:before="320"/>
        <w:rPr>
          <w:rFonts w:cs="Arial"/>
          <w:szCs w:val="20"/>
          <w:lang w:val="en-NZ"/>
        </w:rPr>
      </w:pPr>
      <w:r w:rsidRPr="00032FAF">
        <w:rPr>
          <w:rFonts w:cs="Arial"/>
          <w:szCs w:val="20"/>
          <w:lang w:val="en-NZ"/>
        </w:rPr>
        <w:t>General provisions</w:t>
      </w:r>
    </w:p>
    <w:p w14:paraId="09B76D46" w14:textId="17A9CB6D" w:rsidR="00341A62" w:rsidRPr="0003653F" w:rsidRDefault="00341A62" w:rsidP="00341A62">
      <w:pPr>
        <w:pStyle w:val="BlockNumber"/>
        <w:ind w:left="1587" w:hanging="873"/>
        <w:rPr>
          <w:rFonts w:cs="Arial"/>
          <w:szCs w:val="20"/>
          <w:lang w:val="en-NZ"/>
        </w:rPr>
      </w:pPr>
      <w:r w:rsidRPr="0003653F">
        <w:rPr>
          <w:rFonts w:cs="Arial"/>
          <w:szCs w:val="20"/>
          <w:lang w:val="en-NZ"/>
        </w:rPr>
        <w:t xml:space="preserve">Incidents of </w:t>
      </w:r>
      <w:r w:rsidR="00893B2F">
        <w:rPr>
          <w:rFonts w:cs="Arial"/>
          <w:szCs w:val="20"/>
          <w:lang w:val="en-NZ"/>
        </w:rPr>
        <w:t>learner</w:t>
      </w:r>
      <w:r w:rsidRPr="0003653F">
        <w:rPr>
          <w:rFonts w:cs="Arial"/>
          <w:szCs w:val="20"/>
          <w:lang w:val="en-NZ"/>
        </w:rPr>
        <w:t xml:space="preserve"> </w:t>
      </w:r>
      <w:r w:rsidR="00882631">
        <w:rPr>
          <w:rFonts w:cs="Arial"/>
          <w:szCs w:val="20"/>
          <w:lang w:val="en-NZ"/>
        </w:rPr>
        <w:t xml:space="preserve">misbehaviour and/or </w:t>
      </w:r>
      <w:r w:rsidRPr="0003653F">
        <w:rPr>
          <w:rFonts w:cs="Arial"/>
          <w:szCs w:val="20"/>
          <w:lang w:val="en-NZ"/>
        </w:rPr>
        <w:t xml:space="preserve">misconduct shall be addressed to ensure </w:t>
      </w:r>
      <w:r w:rsidR="00B244D2">
        <w:rPr>
          <w:rFonts w:cs="Arial"/>
          <w:szCs w:val="20"/>
          <w:lang w:val="en-NZ"/>
        </w:rPr>
        <w:t xml:space="preserve">that </w:t>
      </w:r>
      <w:r w:rsidR="00893B2F">
        <w:rPr>
          <w:rFonts w:cs="Arial"/>
          <w:szCs w:val="20"/>
          <w:lang w:val="en-NZ"/>
        </w:rPr>
        <w:t>ATNZ</w:t>
      </w:r>
      <w:r w:rsidRPr="0003653F">
        <w:rPr>
          <w:rFonts w:cs="Arial"/>
          <w:szCs w:val="20"/>
          <w:lang w:val="en-NZ"/>
        </w:rPr>
        <w:t xml:space="preserve"> maintains the highest </w:t>
      </w:r>
      <w:r w:rsidR="00FB3A63">
        <w:rPr>
          <w:rFonts w:cs="Arial"/>
          <w:szCs w:val="20"/>
          <w:lang w:val="en-NZ"/>
        </w:rPr>
        <w:t xml:space="preserve">vocational educational </w:t>
      </w:r>
      <w:r w:rsidRPr="0003653F">
        <w:rPr>
          <w:rFonts w:cs="Arial"/>
          <w:szCs w:val="20"/>
          <w:lang w:val="en-NZ"/>
        </w:rPr>
        <w:t>standards and provides a safe</w:t>
      </w:r>
      <w:r w:rsidR="00FB3A63">
        <w:rPr>
          <w:rFonts w:cs="Arial"/>
          <w:szCs w:val="20"/>
          <w:lang w:val="en-NZ"/>
        </w:rPr>
        <w:t xml:space="preserve">, </w:t>
      </w:r>
      <w:proofErr w:type="gramStart"/>
      <w:r w:rsidR="00FB3A63">
        <w:rPr>
          <w:rFonts w:cs="Arial"/>
          <w:szCs w:val="20"/>
          <w:lang w:val="en-NZ"/>
        </w:rPr>
        <w:lastRenderedPageBreak/>
        <w:t>supportive</w:t>
      </w:r>
      <w:proofErr w:type="gramEnd"/>
      <w:r w:rsidRPr="0003653F">
        <w:rPr>
          <w:rFonts w:cs="Arial"/>
          <w:szCs w:val="20"/>
          <w:lang w:val="en-NZ"/>
        </w:rPr>
        <w:t xml:space="preserve"> and effective learning environment (see section 21: Glossary for definition</w:t>
      </w:r>
      <w:r w:rsidR="005D5A56" w:rsidRPr="0003653F">
        <w:rPr>
          <w:rFonts w:cs="Arial"/>
          <w:szCs w:val="20"/>
          <w:lang w:val="en-NZ"/>
        </w:rPr>
        <w:t>s</w:t>
      </w:r>
      <w:r w:rsidRPr="0003653F">
        <w:rPr>
          <w:rFonts w:cs="Arial"/>
          <w:szCs w:val="20"/>
          <w:lang w:val="en-NZ"/>
        </w:rPr>
        <w:t xml:space="preserve"> of misconduct </w:t>
      </w:r>
      <w:r w:rsidR="005D5A56" w:rsidRPr="0003653F">
        <w:rPr>
          <w:rFonts w:cs="Arial"/>
          <w:szCs w:val="20"/>
          <w:lang w:val="en-NZ"/>
        </w:rPr>
        <w:t xml:space="preserve">and misconduct during assessment </w:t>
      </w:r>
      <w:r w:rsidRPr="0003653F">
        <w:rPr>
          <w:rFonts w:cs="Arial"/>
          <w:szCs w:val="20"/>
          <w:lang w:val="en-NZ"/>
        </w:rPr>
        <w:t xml:space="preserve">and </w:t>
      </w:r>
      <w:r w:rsidR="00C30FE3" w:rsidRPr="0003653F">
        <w:rPr>
          <w:rFonts w:cs="Arial"/>
          <w:szCs w:val="20"/>
          <w:lang w:val="en-NZ"/>
        </w:rPr>
        <w:t>examples</w:t>
      </w:r>
      <w:r w:rsidRPr="0003653F">
        <w:rPr>
          <w:rFonts w:cs="Arial"/>
          <w:szCs w:val="20"/>
          <w:lang w:val="en-NZ"/>
        </w:rPr>
        <w:t xml:space="preserve"> of behaviours that constitute misconduct).</w:t>
      </w:r>
    </w:p>
    <w:p w14:paraId="5CE7D285" w14:textId="1EC2738E" w:rsidR="00B244D2" w:rsidRDefault="00893B2F" w:rsidP="00341A62">
      <w:pPr>
        <w:pStyle w:val="BlockNumber"/>
        <w:ind w:left="1587" w:hanging="873"/>
        <w:rPr>
          <w:rFonts w:cs="Arial"/>
          <w:szCs w:val="20"/>
          <w:lang w:val="en-NZ"/>
        </w:rPr>
      </w:pPr>
      <w:r>
        <w:rPr>
          <w:rFonts w:cs="Arial"/>
          <w:szCs w:val="20"/>
          <w:lang w:val="en-NZ"/>
        </w:rPr>
        <w:t>ATNZ</w:t>
      </w:r>
      <w:r w:rsidR="00C53EBF">
        <w:rPr>
          <w:rFonts w:cs="Arial"/>
          <w:szCs w:val="20"/>
          <w:lang w:val="en-NZ"/>
        </w:rPr>
        <w:t xml:space="preserve"> may apply either the Misbehaviour or the Misconduct procedures to incidents of misbehaviour</w:t>
      </w:r>
      <w:r w:rsidR="005C35A7">
        <w:rPr>
          <w:rFonts w:cs="Arial"/>
          <w:szCs w:val="20"/>
          <w:lang w:val="en-NZ"/>
        </w:rPr>
        <w:t xml:space="preserve"> at </w:t>
      </w:r>
      <w:proofErr w:type="spellStart"/>
      <w:proofErr w:type="gramStart"/>
      <w:r w:rsidR="005C35A7">
        <w:rPr>
          <w:rFonts w:cs="Arial"/>
          <w:szCs w:val="20"/>
          <w:lang w:val="en-NZ"/>
        </w:rPr>
        <w:t>it’s</w:t>
      </w:r>
      <w:proofErr w:type="spellEnd"/>
      <w:proofErr w:type="gramEnd"/>
      <w:r w:rsidR="005C35A7">
        <w:rPr>
          <w:rFonts w:cs="Arial"/>
          <w:szCs w:val="20"/>
          <w:lang w:val="en-NZ"/>
        </w:rPr>
        <w:t xml:space="preserve"> sole discretion. </w:t>
      </w:r>
      <w:r w:rsidR="00B244D2">
        <w:rPr>
          <w:rFonts w:cs="Arial"/>
          <w:szCs w:val="20"/>
          <w:lang w:val="en-NZ"/>
        </w:rPr>
        <w:t xml:space="preserve"> </w:t>
      </w:r>
    </w:p>
    <w:p w14:paraId="44842C15" w14:textId="08002A21" w:rsidR="00B244D2" w:rsidRDefault="00B244D2" w:rsidP="00341A62">
      <w:pPr>
        <w:pStyle w:val="BlockNumber"/>
        <w:ind w:left="1587" w:hanging="873"/>
        <w:rPr>
          <w:rFonts w:cs="Arial"/>
          <w:szCs w:val="20"/>
          <w:lang w:val="en-NZ"/>
        </w:rPr>
      </w:pPr>
      <w:r>
        <w:rPr>
          <w:rFonts w:cs="Arial"/>
          <w:szCs w:val="20"/>
          <w:lang w:val="en-NZ"/>
        </w:rPr>
        <w:t xml:space="preserve">Repeated acts of </w:t>
      </w:r>
      <w:r w:rsidR="00E975E8">
        <w:rPr>
          <w:rFonts w:cs="Arial"/>
          <w:szCs w:val="20"/>
          <w:lang w:val="en-NZ"/>
        </w:rPr>
        <w:t>M</w:t>
      </w:r>
      <w:r>
        <w:rPr>
          <w:rFonts w:cs="Arial"/>
          <w:szCs w:val="20"/>
          <w:lang w:val="en-NZ"/>
        </w:rPr>
        <w:t xml:space="preserve">isbehaviour will be regarded as Misconduct. </w:t>
      </w:r>
    </w:p>
    <w:p w14:paraId="1D9BED75" w14:textId="77777777" w:rsidR="00C53EBF" w:rsidRDefault="00274115" w:rsidP="00341A62">
      <w:pPr>
        <w:pStyle w:val="BlockNumber"/>
        <w:ind w:left="1587" w:hanging="873"/>
        <w:rPr>
          <w:rFonts w:cs="Arial"/>
          <w:szCs w:val="20"/>
          <w:lang w:val="en-NZ"/>
        </w:rPr>
      </w:pPr>
      <w:r>
        <w:rPr>
          <w:rFonts w:cs="Arial"/>
          <w:szCs w:val="20"/>
          <w:lang w:val="en-NZ"/>
        </w:rPr>
        <w:t>R</w:t>
      </w:r>
      <w:r w:rsidR="00B244D2">
        <w:rPr>
          <w:rFonts w:cs="Arial"/>
          <w:szCs w:val="20"/>
          <w:lang w:val="en-NZ"/>
        </w:rPr>
        <w:t>epeated act</w:t>
      </w:r>
      <w:r>
        <w:rPr>
          <w:rFonts w:cs="Arial"/>
          <w:szCs w:val="20"/>
          <w:lang w:val="en-NZ"/>
        </w:rPr>
        <w:t>s</w:t>
      </w:r>
      <w:r w:rsidR="00B244D2">
        <w:rPr>
          <w:rFonts w:cs="Arial"/>
          <w:szCs w:val="20"/>
          <w:lang w:val="en-NZ"/>
        </w:rPr>
        <w:t xml:space="preserve"> of Misconduct will be regarded as Serious Misconduct.</w:t>
      </w:r>
      <w:r w:rsidR="00C53EBF">
        <w:rPr>
          <w:rFonts w:cs="Arial"/>
          <w:szCs w:val="20"/>
          <w:lang w:val="en-NZ"/>
        </w:rPr>
        <w:t xml:space="preserve">   </w:t>
      </w:r>
    </w:p>
    <w:p w14:paraId="01F17474" w14:textId="3A632805" w:rsidR="00341A62" w:rsidRPr="0003653F" w:rsidRDefault="00893B2F" w:rsidP="004E6B60">
      <w:pPr>
        <w:pStyle w:val="BlockNumber"/>
        <w:ind w:left="1587" w:hanging="873"/>
        <w:rPr>
          <w:rFonts w:cs="Arial"/>
          <w:szCs w:val="20"/>
          <w:lang w:val="en-NZ"/>
        </w:rPr>
      </w:pPr>
      <w:r>
        <w:rPr>
          <w:rFonts w:cs="Arial"/>
          <w:szCs w:val="20"/>
          <w:lang w:val="en-NZ"/>
        </w:rPr>
        <w:t>Learner</w:t>
      </w:r>
      <w:r w:rsidR="00341A62" w:rsidRPr="0003653F">
        <w:rPr>
          <w:rFonts w:cs="Arial"/>
          <w:szCs w:val="20"/>
          <w:lang w:val="en-NZ"/>
        </w:rPr>
        <w:t xml:space="preserve">s who assist, </w:t>
      </w:r>
      <w:proofErr w:type="gramStart"/>
      <w:r w:rsidR="00341A62" w:rsidRPr="0003653F">
        <w:rPr>
          <w:rFonts w:cs="Arial"/>
          <w:szCs w:val="20"/>
          <w:lang w:val="en-NZ"/>
        </w:rPr>
        <w:t>procure</w:t>
      </w:r>
      <w:proofErr w:type="gramEnd"/>
      <w:r w:rsidR="00341A62" w:rsidRPr="0003653F">
        <w:rPr>
          <w:rFonts w:cs="Arial"/>
          <w:szCs w:val="20"/>
          <w:lang w:val="en-NZ"/>
        </w:rPr>
        <w:t xml:space="preserve"> or encourage another person to act in a manner that constitutes </w:t>
      </w:r>
      <w:r w:rsidR="00882631">
        <w:rPr>
          <w:rFonts w:cs="Arial"/>
          <w:szCs w:val="20"/>
          <w:lang w:val="en-NZ"/>
        </w:rPr>
        <w:t xml:space="preserve">misbehaviour or </w:t>
      </w:r>
      <w:r w:rsidR="00341A62" w:rsidRPr="0003653F">
        <w:rPr>
          <w:rFonts w:cs="Arial"/>
          <w:szCs w:val="20"/>
          <w:lang w:val="en-NZ"/>
        </w:rPr>
        <w:t xml:space="preserve">misconduct shall be dealt with as if they had </w:t>
      </w:r>
      <w:r w:rsidR="00FC2C1D" w:rsidRPr="0003653F">
        <w:rPr>
          <w:rFonts w:cs="Arial"/>
          <w:szCs w:val="20"/>
          <w:lang w:val="en-NZ"/>
        </w:rPr>
        <w:t>committed</w:t>
      </w:r>
      <w:r w:rsidR="00341A62" w:rsidRPr="0003653F">
        <w:rPr>
          <w:rFonts w:cs="Arial"/>
          <w:szCs w:val="20"/>
          <w:lang w:val="en-NZ"/>
        </w:rPr>
        <w:t xml:space="preserve"> the </w:t>
      </w:r>
      <w:r w:rsidR="00882631">
        <w:rPr>
          <w:rFonts w:cs="Arial"/>
          <w:szCs w:val="20"/>
          <w:lang w:val="en-NZ"/>
        </w:rPr>
        <w:t xml:space="preserve">misbehaviour or </w:t>
      </w:r>
      <w:r w:rsidR="00341A62" w:rsidRPr="0003653F">
        <w:rPr>
          <w:rFonts w:cs="Arial"/>
          <w:szCs w:val="20"/>
          <w:lang w:val="en-NZ"/>
        </w:rPr>
        <w:t>misconduct themselves.</w:t>
      </w:r>
    </w:p>
    <w:p w14:paraId="270D3C8A" w14:textId="4636398A" w:rsidR="00341A62" w:rsidRDefault="00893B2F" w:rsidP="004E6B60">
      <w:pPr>
        <w:pStyle w:val="BlockNumber"/>
        <w:ind w:left="1587" w:hanging="873"/>
        <w:rPr>
          <w:rFonts w:cs="Arial"/>
          <w:szCs w:val="20"/>
          <w:lang w:val="en-NZ"/>
        </w:rPr>
      </w:pPr>
      <w:r>
        <w:rPr>
          <w:rFonts w:cs="Arial"/>
          <w:szCs w:val="20"/>
          <w:lang w:val="en-NZ"/>
        </w:rPr>
        <w:t>ATNZ</w:t>
      </w:r>
      <w:r w:rsidR="00341A62" w:rsidRPr="0003653F">
        <w:rPr>
          <w:rFonts w:cs="Arial"/>
          <w:szCs w:val="20"/>
          <w:lang w:val="en-NZ"/>
        </w:rPr>
        <w:t xml:space="preserve"> may refer </w:t>
      </w:r>
      <w:r>
        <w:rPr>
          <w:rFonts w:cs="Arial"/>
          <w:szCs w:val="20"/>
          <w:lang w:val="en-NZ"/>
        </w:rPr>
        <w:t>learner</w:t>
      </w:r>
      <w:r w:rsidR="00341A62" w:rsidRPr="0003653F">
        <w:rPr>
          <w:rFonts w:cs="Arial"/>
          <w:szCs w:val="20"/>
          <w:lang w:val="en-NZ"/>
        </w:rPr>
        <w:t xml:space="preserve">s who act in a manner that breaches any New Zealand legislation, </w:t>
      </w:r>
      <w:proofErr w:type="gramStart"/>
      <w:r w:rsidR="00341A62" w:rsidRPr="0003653F">
        <w:rPr>
          <w:rFonts w:cs="Arial"/>
          <w:szCs w:val="20"/>
          <w:lang w:val="en-NZ"/>
        </w:rPr>
        <w:t>rules</w:t>
      </w:r>
      <w:proofErr w:type="gramEnd"/>
      <w:r w:rsidR="00341A62" w:rsidRPr="0003653F">
        <w:rPr>
          <w:rFonts w:cs="Arial"/>
          <w:szCs w:val="20"/>
          <w:lang w:val="en-NZ"/>
        </w:rPr>
        <w:t xml:space="preserve"> or regulations so as to </w:t>
      </w:r>
      <w:r w:rsidR="00FC2C1D" w:rsidRPr="0003653F">
        <w:rPr>
          <w:rFonts w:cs="Arial"/>
          <w:szCs w:val="20"/>
          <w:lang w:val="en-NZ"/>
        </w:rPr>
        <w:t>commit</w:t>
      </w:r>
      <w:r w:rsidR="00341A62" w:rsidRPr="0003653F">
        <w:rPr>
          <w:rFonts w:cs="Arial"/>
          <w:szCs w:val="20"/>
          <w:lang w:val="en-NZ"/>
        </w:rPr>
        <w:t xml:space="preserve"> an offence under the laws of New Zealand to the Police and/or other appropriate authorities</w:t>
      </w:r>
      <w:r w:rsidR="00882631">
        <w:rPr>
          <w:rFonts w:cs="Arial"/>
          <w:szCs w:val="20"/>
          <w:lang w:val="en-NZ"/>
        </w:rPr>
        <w:t xml:space="preserve"> and will generally do so</w:t>
      </w:r>
      <w:r w:rsidR="00341A62" w:rsidRPr="0003653F">
        <w:rPr>
          <w:rFonts w:cs="Arial"/>
          <w:szCs w:val="20"/>
          <w:lang w:val="en-NZ"/>
        </w:rPr>
        <w:t>.</w:t>
      </w:r>
    </w:p>
    <w:p w14:paraId="41D84F07" w14:textId="77777777" w:rsidR="001F185B" w:rsidRDefault="00341A62" w:rsidP="004E6B60">
      <w:pPr>
        <w:pStyle w:val="BlockNumber"/>
        <w:ind w:left="1587" w:hanging="873"/>
        <w:rPr>
          <w:rFonts w:cs="Arial"/>
          <w:szCs w:val="20"/>
          <w:lang w:val="en-NZ"/>
        </w:rPr>
      </w:pPr>
      <w:r w:rsidRPr="0003653F">
        <w:rPr>
          <w:rFonts w:cs="Arial"/>
          <w:szCs w:val="20"/>
          <w:lang w:val="en-NZ"/>
        </w:rPr>
        <w:t xml:space="preserve">All </w:t>
      </w:r>
      <w:r w:rsidR="00C53EBF">
        <w:rPr>
          <w:rFonts w:cs="Arial"/>
          <w:szCs w:val="20"/>
          <w:lang w:val="en-NZ"/>
        </w:rPr>
        <w:t xml:space="preserve">misbehaviour and </w:t>
      </w:r>
      <w:r w:rsidRPr="0003653F">
        <w:rPr>
          <w:rFonts w:cs="Arial"/>
          <w:szCs w:val="20"/>
          <w:lang w:val="en-NZ"/>
        </w:rPr>
        <w:t>misconduct investigations and proceedings shall be carried out in accordance with the principles of natural justice.</w:t>
      </w:r>
    </w:p>
    <w:p w14:paraId="225CA8AB" w14:textId="4E91FC85" w:rsidR="001F185B" w:rsidRDefault="001F185B" w:rsidP="001F185B">
      <w:pPr>
        <w:pStyle w:val="BlockNumber"/>
        <w:numPr>
          <w:ilvl w:val="0"/>
          <w:numId w:val="0"/>
        </w:numPr>
        <w:ind w:left="1560"/>
        <w:rPr>
          <w:rFonts w:cs="Arial"/>
          <w:szCs w:val="20"/>
          <w:lang w:val="en-NZ"/>
        </w:rPr>
      </w:pPr>
      <w:r>
        <w:rPr>
          <w:rFonts w:cs="Arial"/>
          <w:szCs w:val="20"/>
          <w:lang w:val="en-NZ"/>
        </w:rPr>
        <w:t xml:space="preserve">All </w:t>
      </w:r>
      <w:r w:rsidR="00893B2F">
        <w:rPr>
          <w:rFonts w:cs="Arial"/>
          <w:szCs w:val="20"/>
          <w:lang w:val="en-NZ"/>
        </w:rPr>
        <w:t>learner</w:t>
      </w:r>
      <w:r>
        <w:rPr>
          <w:rFonts w:cs="Arial"/>
          <w:szCs w:val="20"/>
          <w:lang w:val="en-NZ"/>
        </w:rPr>
        <w:t xml:space="preserve">s accused of misbehaviour shall have the right to provide an explanation to the </w:t>
      </w:r>
      <w:r w:rsidR="00E975E8">
        <w:rPr>
          <w:rFonts w:cs="Arial"/>
          <w:szCs w:val="20"/>
          <w:lang w:val="en-NZ"/>
        </w:rPr>
        <w:t xml:space="preserve">workplace supervisor or ATNZ representative </w:t>
      </w:r>
      <w:r>
        <w:rPr>
          <w:rFonts w:cs="Arial"/>
          <w:szCs w:val="20"/>
          <w:lang w:val="en-NZ"/>
        </w:rPr>
        <w:t>who has observed the misbehaviour.</w:t>
      </w:r>
    </w:p>
    <w:p w14:paraId="57BF7BE4" w14:textId="77777777" w:rsidR="001F185B" w:rsidRDefault="001F185B" w:rsidP="001F185B">
      <w:pPr>
        <w:pStyle w:val="BlockNumber"/>
        <w:numPr>
          <w:ilvl w:val="0"/>
          <w:numId w:val="0"/>
        </w:numPr>
        <w:spacing w:before="0" w:after="60"/>
        <w:ind w:left="1587"/>
        <w:rPr>
          <w:rFonts w:cs="Arial"/>
          <w:szCs w:val="20"/>
          <w:lang w:val="en-NZ"/>
        </w:rPr>
      </w:pPr>
    </w:p>
    <w:p w14:paraId="6800B683" w14:textId="35B9A015" w:rsidR="001F185B" w:rsidRPr="0003653F" w:rsidRDefault="001F185B" w:rsidP="001F185B">
      <w:pPr>
        <w:pStyle w:val="BlockNumber"/>
        <w:numPr>
          <w:ilvl w:val="0"/>
          <w:numId w:val="0"/>
        </w:numPr>
        <w:spacing w:before="0" w:after="60"/>
        <w:ind w:left="1587"/>
        <w:rPr>
          <w:rFonts w:cs="Arial"/>
          <w:szCs w:val="20"/>
          <w:lang w:val="en-NZ"/>
        </w:rPr>
      </w:pPr>
      <w:r>
        <w:rPr>
          <w:rFonts w:cs="Arial"/>
          <w:szCs w:val="20"/>
          <w:lang w:val="en-NZ"/>
        </w:rPr>
        <w:t>A</w:t>
      </w:r>
      <w:r w:rsidRPr="0003653F">
        <w:rPr>
          <w:rFonts w:cs="Arial"/>
          <w:szCs w:val="20"/>
          <w:lang w:val="en-NZ"/>
        </w:rPr>
        <w:t xml:space="preserve">ll </w:t>
      </w:r>
      <w:r w:rsidR="00893B2F">
        <w:rPr>
          <w:rFonts w:cs="Arial"/>
          <w:szCs w:val="20"/>
          <w:lang w:val="en-NZ"/>
        </w:rPr>
        <w:t>learner</w:t>
      </w:r>
      <w:r w:rsidRPr="0003653F">
        <w:rPr>
          <w:rFonts w:cs="Arial"/>
          <w:szCs w:val="20"/>
          <w:lang w:val="en-NZ"/>
        </w:rPr>
        <w:t>s accused of misconduct shall have the right to:</w:t>
      </w:r>
    </w:p>
    <w:p w14:paraId="7E66B3E0" w14:textId="77777777" w:rsidR="001F185B" w:rsidRPr="0003653F" w:rsidRDefault="001F185B" w:rsidP="001F185B">
      <w:pPr>
        <w:pStyle w:val="Bullet1"/>
        <w:tabs>
          <w:tab w:val="clear" w:pos="1494"/>
        </w:tabs>
        <w:ind w:left="2127" w:hanging="426"/>
        <w:rPr>
          <w:rFonts w:cs="Arial"/>
          <w:lang w:val="en-NZ"/>
        </w:rPr>
      </w:pPr>
      <w:r w:rsidRPr="0003653F">
        <w:rPr>
          <w:rFonts w:cs="Arial"/>
          <w:lang w:val="en-NZ"/>
        </w:rPr>
        <w:t xml:space="preserve">Advice, representation and support throughout the </w:t>
      </w:r>
      <w:proofErr w:type="gramStart"/>
      <w:r w:rsidRPr="0003653F">
        <w:rPr>
          <w:rFonts w:cs="Arial"/>
          <w:lang w:val="en-NZ"/>
        </w:rPr>
        <w:t>process;</w:t>
      </w:r>
      <w:proofErr w:type="gramEnd"/>
    </w:p>
    <w:p w14:paraId="450F94FB" w14:textId="77777777" w:rsidR="001F185B" w:rsidRPr="0003653F" w:rsidRDefault="001F185B" w:rsidP="001F185B">
      <w:pPr>
        <w:pStyle w:val="Bullet1"/>
        <w:tabs>
          <w:tab w:val="clear" w:pos="1494"/>
        </w:tabs>
        <w:ind w:left="2127" w:hanging="426"/>
        <w:rPr>
          <w:rFonts w:cs="Arial"/>
          <w:lang w:val="en-NZ"/>
        </w:rPr>
      </w:pPr>
      <w:r w:rsidRPr="0003653F">
        <w:rPr>
          <w:rFonts w:cs="Arial"/>
          <w:lang w:val="en-NZ"/>
        </w:rPr>
        <w:t xml:space="preserve">Respond to the allegation and be listened to and explain their </w:t>
      </w:r>
      <w:proofErr w:type="gramStart"/>
      <w:r w:rsidRPr="0003653F">
        <w:rPr>
          <w:rFonts w:cs="Arial"/>
          <w:lang w:val="en-NZ"/>
        </w:rPr>
        <w:t>position;</w:t>
      </w:r>
      <w:proofErr w:type="gramEnd"/>
    </w:p>
    <w:p w14:paraId="01D33DB9" w14:textId="77777777" w:rsidR="001F185B" w:rsidRPr="0003653F" w:rsidRDefault="001F185B" w:rsidP="001F185B">
      <w:pPr>
        <w:pStyle w:val="Bullet1"/>
        <w:tabs>
          <w:tab w:val="clear" w:pos="1494"/>
        </w:tabs>
        <w:ind w:left="2127" w:hanging="426"/>
        <w:rPr>
          <w:rFonts w:cs="Arial"/>
          <w:lang w:val="en-NZ"/>
        </w:rPr>
      </w:pPr>
      <w:r w:rsidRPr="0003653F">
        <w:rPr>
          <w:rFonts w:cs="Arial"/>
          <w:lang w:val="en-NZ"/>
        </w:rPr>
        <w:t xml:space="preserve">Be treated with </w:t>
      </w:r>
      <w:proofErr w:type="gramStart"/>
      <w:r w:rsidRPr="0003653F">
        <w:rPr>
          <w:rFonts w:cs="Arial"/>
          <w:lang w:val="en-NZ"/>
        </w:rPr>
        <w:t>respect;</w:t>
      </w:r>
      <w:proofErr w:type="gramEnd"/>
    </w:p>
    <w:p w14:paraId="1FF3A233" w14:textId="77777777" w:rsidR="001F185B" w:rsidRPr="0003653F" w:rsidRDefault="001F185B" w:rsidP="001F185B">
      <w:pPr>
        <w:pStyle w:val="Bullet1"/>
        <w:tabs>
          <w:tab w:val="clear" w:pos="1494"/>
        </w:tabs>
        <w:ind w:left="2127" w:hanging="426"/>
        <w:rPr>
          <w:rFonts w:cs="Arial"/>
          <w:lang w:val="en-NZ"/>
        </w:rPr>
      </w:pPr>
      <w:r w:rsidRPr="0003653F">
        <w:rPr>
          <w:rFonts w:cs="Arial"/>
          <w:lang w:val="en-NZ"/>
        </w:rPr>
        <w:t xml:space="preserve">Be treated as innocent until proven </w:t>
      </w:r>
      <w:proofErr w:type="gramStart"/>
      <w:r w:rsidRPr="0003653F">
        <w:rPr>
          <w:rFonts w:cs="Arial"/>
          <w:lang w:val="en-NZ"/>
        </w:rPr>
        <w:t>guilty;</w:t>
      </w:r>
      <w:proofErr w:type="gramEnd"/>
    </w:p>
    <w:p w14:paraId="60A236A6" w14:textId="77777777" w:rsidR="001F185B" w:rsidRPr="0003653F" w:rsidRDefault="001F185B" w:rsidP="001F185B">
      <w:pPr>
        <w:pStyle w:val="Bullet1"/>
        <w:tabs>
          <w:tab w:val="clear" w:pos="1494"/>
        </w:tabs>
        <w:ind w:left="2127" w:hanging="426"/>
        <w:rPr>
          <w:rFonts w:cs="Arial"/>
          <w:lang w:val="en-NZ"/>
        </w:rPr>
      </w:pPr>
      <w:r w:rsidRPr="0003653F">
        <w:rPr>
          <w:rFonts w:cs="Arial"/>
          <w:lang w:val="en-NZ"/>
        </w:rPr>
        <w:t xml:space="preserve">Be informed of the nature of the allegation and relevant information, including the evidence on which the allegation is </w:t>
      </w:r>
      <w:proofErr w:type="gramStart"/>
      <w:r w:rsidRPr="0003653F">
        <w:rPr>
          <w:rFonts w:cs="Arial"/>
          <w:lang w:val="en-NZ"/>
        </w:rPr>
        <w:t>based;</w:t>
      </w:r>
      <w:proofErr w:type="gramEnd"/>
    </w:p>
    <w:p w14:paraId="4A177105" w14:textId="77777777" w:rsidR="001F185B" w:rsidRPr="0003653F" w:rsidRDefault="001F185B" w:rsidP="001F185B">
      <w:pPr>
        <w:pStyle w:val="Bullet1"/>
        <w:tabs>
          <w:tab w:val="clear" w:pos="1494"/>
        </w:tabs>
        <w:ind w:left="2127" w:hanging="426"/>
        <w:rPr>
          <w:rFonts w:cs="Arial"/>
          <w:lang w:val="en-NZ"/>
        </w:rPr>
      </w:pPr>
      <w:r w:rsidRPr="0003653F">
        <w:rPr>
          <w:rFonts w:cs="Arial"/>
          <w:lang w:val="en-NZ"/>
        </w:rPr>
        <w:t xml:space="preserve">Receive sufficient notice of any meeting or </w:t>
      </w:r>
      <w:proofErr w:type="gramStart"/>
      <w:r w:rsidRPr="0003653F">
        <w:rPr>
          <w:rFonts w:cs="Arial"/>
          <w:lang w:val="en-NZ"/>
        </w:rPr>
        <w:t>hearing;</w:t>
      </w:r>
      <w:proofErr w:type="gramEnd"/>
    </w:p>
    <w:p w14:paraId="0057AA2E" w14:textId="77777777" w:rsidR="001F185B" w:rsidRPr="0003653F" w:rsidRDefault="001F185B" w:rsidP="001F185B">
      <w:pPr>
        <w:pStyle w:val="Bullet1"/>
        <w:tabs>
          <w:tab w:val="clear" w:pos="1494"/>
        </w:tabs>
        <w:ind w:left="2127" w:hanging="426"/>
        <w:rPr>
          <w:rFonts w:cs="Arial"/>
          <w:lang w:val="en-NZ"/>
        </w:rPr>
      </w:pPr>
      <w:r w:rsidRPr="0003653F">
        <w:rPr>
          <w:rFonts w:cs="Arial"/>
          <w:lang w:val="en-NZ"/>
        </w:rPr>
        <w:t xml:space="preserve">Have the matter determined by those impartial and competent to do </w:t>
      </w:r>
      <w:proofErr w:type="gramStart"/>
      <w:r w:rsidRPr="0003653F">
        <w:rPr>
          <w:rFonts w:cs="Arial"/>
          <w:lang w:val="en-NZ"/>
        </w:rPr>
        <w:t>so;</w:t>
      </w:r>
      <w:proofErr w:type="gramEnd"/>
    </w:p>
    <w:p w14:paraId="3E2866A0" w14:textId="77777777" w:rsidR="001F185B" w:rsidRPr="0003653F" w:rsidRDefault="001F185B" w:rsidP="001F185B">
      <w:pPr>
        <w:pStyle w:val="Bullet1"/>
        <w:tabs>
          <w:tab w:val="clear" w:pos="1494"/>
        </w:tabs>
        <w:ind w:left="2127" w:hanging="426"/>
        <w:rPr>
          <w:rFonts w:cs="Arial"/>
          <w:lang w:val="en-NZ"/>
        </w:rPr>
      </w:pPr>
      <w:r w:rsidRPr="0003653F">
        <w:rPr>
          <w:rFonts w:cs="Arial"/>
          <w:lang w:val="en-NZ"/>
        </w:rPr>
        <w:t>Freedom from intimidation, harassment, threat of recrimination or any other type of vengeful activity; and</w:t>
      </w:r>
    </w:p>
    <w:p w14:paraId="2EF5DFA5" w14:textId="77777777" w:rsidR="001F185B" w:rsidRPr="0003653F" w:rsidRDefault="001F185B" w:rsidP="001F185B">
      <w:pPr>
        <w:pStyle w:val="Bullet1"/>
        <w:tabs>
          <w:tab w:val="clear" w:pos="1494"/>
        </w:tabs>
        <w:ind w:left="2127" w:hanging="426"/>
        <w:rPr>
          <w:rFonts w:cs="Arial"/>
          <w:lang w:val="en-NZ"/>
        </w:rPr>
      </w:pPr>
      <w:r w:rsidRPr="0003653F">
        <w:rPr>
          <w:rFonts w:cs="Arial"/>
          <w:lang w:val="en-NZ"/>
        </w:rPr>
        <w:t>Have written material available in a form that the person can understand, if necessary, by giving access to interpreters and translators.</w:t>
      </w:r>
    </w:p>
    <w:p w14:paraId="299184CD" w14:textId="50F358E3" w:rsidR="00274115" w:rsidRDefault="00893B2F" w:rsidP="004E6B60">
      <w:pPr>
        <w:pStyle w:val="BlockNumber"/>
        <w:ind w:left="1587" w:hanging="873"/>
        <w:rPr>
          <w:rFonts w:cs="Arial"/>
          <w:szCs w:val="20"/>
          <w:lang w:val="en-NZ"/>
        </w:rPr>
      </w:pPr>
      <w:r>
        <w:rPr>
          <w:rFonts w:cs="Arial"/>
          <w:szCs w:val="20"/>
          <w:lang w:val="en-NZ"/>
        </w:rPr>
        <w:t>ATNZ</w:t>
      </w:r>
      <w:r w:rsidR="001F185B" w:rsidRPr="004E6B60">
        <w:rPr>
          <w:rFonts w:cs="Arial"/>
          <w:szCs w:val="20"/>
          <w:lang w:val="en-NZ"/>
        </w:rPr>
        <w:t xml:space="preserve">’s approach to misbehaviour and misconduct will be predicated on providing reasonable opportunities and support to enable </w:t>
      </w:r>
      <w:r>
        <w:rPr>
          <w:rFonts w:cs="Arial"/>
          <w:szCs w:val="20"/>
          <w:lang w:val="en-NZ"/>
        </w:rPr>
        <w:t>learner</w:t>
      </w:r>
      <w:r w:rsidR="001F185B" w:rsidRPr="004E6B60">
        <w:rPr>
          <w:rFonts w:cs="Arial"/>
          <w:szCs w:val="20"/>
          <w:lang w:val="en-NZ"/>
        </w:rPr>
        <w:t>s to address their behaviour</w:t>
      </w:r>
      <w:r w:rsidR="00274115">
        <w:rPr>
          <w:rFonts w:cs="Arial"/>
          <w:szCs w:val="20"/>
          <w:lang w:val="en-NZ"/>
        </w:rPr>
        <w:t xml:space="preserve">, except where this would create an unacceptable risk to other </w:t>
      </w:r>
      <w:r>
        <w:rPr>
          <w:rFonts w:cs="Arial"/>
          <w:szCs w:val="20"/>
          <w:lang w:val="en-NZ"/>
        </w:rPr>
        <w:t>learner</w:t>
      </w:r>
      <w:r w:rsidR="00274115">
        <w:rPr>
          <w:rFonts w:cs="Arial"/>
          <w:szCs w:val="20"/>
          <w:lang w:val="en-NZ"/>
        </w:rPr>
        <w:t>s or staff</w:t>
      </w:r>
      <w:r w:rsidR="001F185B" w:rsidRPr="004E6B60">
        <w:rPr>
          <w:rFonts w:cs="Arial"/>
          <w:szCs w:val="20"/>
          <w:lang w:val="en-NZ"/>
        </w:rPr>
        <w:t>.</w:t>
      </w:r>
      <w:r w:rsidR="00274115">
        <w:rPr>
          <w:rFonts w:cs="Arial"/>
          <w:szCs w:val="20"/>
          <w:lang w:val="en-NZ"/>
        </w:rPr>
        <w:t xml:space="preserve"> This does not preclude </w:t>
      </w:r>
      <w:r>
        <w:rPr>
          <w:rFonts w:cs="Arial"/>
          <w:szCs w:val="20"/>
          <w:lang w:val="en-NZ"/>
        </w:rPr>
        <w:t>ATNZ</w:t>
      </w:r>
      <w:r w:rsidR="00274115">
        <w:rPr>
          <w:rFonts w:cs="Arial"/>
          <w:szCs w:val="20"/>
          <w:lang w:val="en-NZ"/>
        </w:rPr>
        <w:t xml:space="preserve"> deeming any initial act to be Serious Misconduct and applying more serious penalties without the </w:t>
      </w:r>
      <w:r>
        <w:rPr>
          <w:rFonts w:cs="Arial"/>
          <w:szCs w:val="20"/>
          <w:lang w:val="en-NZ"/>
        </w:rPr>
        <w:t>learner</w:t>
      </w:r>
      <w:r w:rsidR="00274115">
        <w:rPr>
          <w:rFonts w:cs="Arial"/>
          <w:szCs w:val="20"/>
          <w:lang w:val="en-NZ"/>
        </w:rPr>
        <w:t xml:space="preserve"> having been found to have committed a previous act of misbehaviour or misconduct.</w:t>
      </w:r>
    </w:p>
    <w:p w14:paraId="4EA0675E" w14:textId="24D7CB5B" w:rsidR="001F185B" w:rsidRDefault="001F185B" w:rsidP="004E6B60">
      <w:pPr>
        <w:pStyle w:val="BlockNumber"/>
        <w:ind w:left="1587" w:hanging="873"/>
        <w:rPr>
          <w:rFonts w:cs="Arial"/>
          <w:szCs w:val="20"/>
          <w:lang w:val="en-NZ"/>
        </w:rPr>
      </w:pPr>
      <w:r w:rsidRPr="004E6B60">
        <w:rPr>
          <w:rFonts w:cs="Arial"/>
          <w:szCs w:val="20"/>
          <w:lang w:val="en-NZ"/>
        </w:rPr>
        <w:t>Repeated acts of Misbehaviour and Misconduct will receive escalating consequences</w:t>
      </w:r>
      <w:r w:rsidR="00274115">
        <w:rPr>
          <w:rFonts w:cs="Arial"/>
          <w:szCs w:val="20"/>
          <w:lang w:val="en-NZ"/>
        </w:rPr>
        <w:t>.</w:t>
      </w:r>
      <w:r w:rsidRPr="004E6B60">
        <w:rPr>
          <w:rFonts w:cs="Arial"/>
          <w:szCs w:val="20"/>
          <w:lang w:val="en-NZ"/>
        </w:rPr>
        <w:t xml:space="preserve"> </w:t>
      </w:r>
      <w:r w:rsidR="00274115">
        <w:rPr>
          <w:rFonts w:cs="Arial"/>
          <w:szCs w:val="20"/>
          <w:lang w:val="en-NZ"/>
        </w:rPr>
        <w:t>A</w:t>
      </w:r>
      <w:r w:rsidRPr="004E6B60">
        <w:rPr>
          <w:rFonts w:cs="Arial"/>
          <w:szCs w:val="20"/>
          <w:lang w:val="en-NZ"/>
        </w:rPr>
        <w:t xml:space="preserve"> </w:t>
      </w:r>
      <w:r w:rsidR="00274115">
        <w:rPr>
          <w:rFonts w:cs="Arial"/>
          <w:szCs w:val="20"/>
          <w:lang w:val="en-NZ"/>
        </w:rPr>
        <w:t xml:space="preserve">third </w:t>
      </w:r>
      <w:r w:rsidRPr="004E6B60">
        <w:rPr>
          <w:rFonts w:cs="Arial"/>
          <w:szCs w:val="20"/>
          <w:lang w:val="en-NZ"/>
        </w:rPr>
        <w:t xml:space="preserve">act of Misconduct for a similar act will be regarded as Serious Misconduct </w:t>
      </w:r>
      <w:r>
        <w:rPr>
          <w:rFonts w:cs="Arial"/>
          <w:szCs w:val="20"/>
          <w:lang w:val="en-NZ"/>
        </w:rPr>
        <w:t>and may lead to exclusion.</w:t>
      </w:r>
    </w:p>
    <w:p w14:paraId="05A12174" w14:textId="77777777" w:rsidR="005C35A7" w:rsidRDefault="005C35A7" w:rsidP="005C35A7">
      <w:pPr>
        <w:pStyle w:val="BlockNumber"/>
        <w:numPr>
          <w:ilvl w:val="0"/>
          <w:numId w:val="0"/>
        </w:numPr>
        <w:ind w:left="1587"/>
        <w:rPr>
          <w:rFonts w:cs="Arial"/>
          <w:szCs w:val="20"/>
          <w:lang w:val="en-NZ"/>
        </w:rPr>
      </w:pPr>
    </w:p>
    <w:p w14:paraId="731E3CD7" w14:textId="77777777" w:rsidR="00341A62" w:rsidRPr="00032FAF" w:rsidRDefault="00341A62" w:rsidP="00341A62">
      <w:pPr>
        <w:pStyle w:val="Heading2No"/>
        <w:spacing w:before="320"/>
        <w:rPr>
          <w:rFonts w:cs="Arial"/>
          <w:szCs w:val="20"/>
          <w:lang w:val="en-NZ"/>
        </w:rPr>
      </w:pPr>
      <w:r w:rsidRPr="00032FAF">
        <w:rPr>
          <w:rFonts w:cs="Arial"/>
          <w:szCs w:val="20"/>
          <w:lang w:val="en-NZ"/>
        </w:rPr>
        <w:t>Urgent immediate action in the event of misconduct</w:t>
      </w:r>
    </w:p>
    <w:p w14:paraId="27F0B2B1" w14:textId="30E38868" w:rsidR="00341A62" w:rsidRPr="005C35A7" w:rsidRDefault="00341A62" w:rsidP="005C35A7">
      <w:pPr>
        <w:pStyle w:val="BlockNumber"/>
        <w:ind w:left="1560" w:hanging="851"/>
        <w:rPr>
          <w:rFonts w:cs="Arial"/>
          <w:lang w:val="en-NZ"/>
        </w:rPr>
      </w:pPr>
      <w:r w:rsidRPr="005C35A7">
        <w:rPr>
          <w:rFonts w:cs="Arial"/>
          <w:b/>
          <w:szCs w:val="20"/>
          <w:lang w:val="en-NZ"/>
        </w:rPr>
        <w:lastRenderedPageBreak/>
        <w:t>Dismissal</w:t>
      </w:r>
      <w:r w:rsidR="001406C7" w:rsidRPr="005C35A7">
        <w:rPr>
          <w:rFonts w:cs="Arial"/>
          <w:b/>
          <w:szCs w:val="20"/>
          <w:lang w:val="en-NZ"/>
        </w:rPr>
        <w:t xml:space="preserve"> from </w:t>
      </w:r>
      <w:r w:rsidR="00B167BE">
        <w:rPr>
          <w:rFonts w:cs="Arial"/>
          <w:b/>
          <w:szCs w:val="20"/>
          <w:lang w:val="en-NZ"/>
        </w:rPr>
        <w:t xml:space="preserve">workplace, </w:t>
      </w:r>
      <w:r w:rsidR="005C35A7" w:rsidRPr="005C35A7">
        <w:rPr>
          <w:rFonts w:cs="Arial"/>
          <w:b/>
          <w:szCs w:val="20"/>
          <w:lang w:val="en-NZ"/>
        </w:rPr>
        <w:t>class or facility or on</w:t>
      </w:r>
      <w:r w:rsidR="00B167BE">
        <w:rPr>
          <w:rFonts w:cs="Arial"/>
          <w:b/>
          <w:szCs w:val="20"/>
          <w:lang w:val="en-NZ"/>
        </w:rPr>
        <w:t>-</w:t>
      </w:r>
      <w:r w:rsidR="005C35A7" w:rsidRPr="005C35A7">
        <w:rPr>
          <w:rFonts w:cs="Arial"/>
          <w:b/>
          <w:szCs w:val="20"/>
          <w:lang w:val="en-NZ"/>
        </w:rPr>
        <w:t xml:space="preserve">line learning environment: </w:t>
      </w:r>
      <w:r w:rsidRPr="005C35A7">
        <w:rPr>
          <w:rFonts w:cs="Arial"/>
          <w:szCs w:val="20"/>
          <w:lang w:val="en-NZ"/>
        </w:rPr>
        <w:t xml:space="preserve"> In </w:t>
      </w:r>
      <w:r w:rsidR="00C67A65" w:rsidRPr="005C35A7">
        <w:rPr>
          <w:rFonts w:cs="Arial"/>
          <w:szCs w:val="20"/>
          <w:lang w:val="en-NZ"/>
        </w:rPr>
        <w:t xml:space="preserve">serious </w:t>
      </w:r>
      <w:r w:rsidRPr="005C35A7">
        <w:rPr>
          <w:rFonts w:cs="Arial"/>
          <w:szCs w:val="20"/>
          <w:lang w:val="en-NZ"/>
        </w:rPr>
        <w:t>cases of alleged misconduct where, on reasonable grounds, it is considered necessary to maintain order, safety or an effective learning environment</w:t>
      </w:r>
      <w:r w:rsidR="005C35A7" w:rsidRPr="005C35A7">
        <w:rPr>
          <w:rFonts w:cs="Arial"/>
          <w:szCs w:val="20"/>
          <w:lang w:val="en-NZ"/>
        </w:rPr>
        <w:t xml:space="preserve">, </w:t>
      </w:r>
      <w:r w:rsidR="00CB4FE1">
        <w:rPr>
          <w:rFonts w:cs="Arial"/>
          <w:szCs w:val="20"/>
          <w:lang w:val="en-NZ"/>
        </w:rPr>
        <w:t xml:space="preserve">any employer supervising </w:t>
      </w:r>
      <w:proofErr w:type="gramStart"/>
      <w:r w:rsidR="00CB4FE1">
        <w:rPr>
          <w:rFonts w:cs="Arial"/>
          <w:szCs w:val="20"/>
          <w:lang w:val="en-NZ"/>
        </w:rPr>
        <w:t>work based</w:t>
      </w:r>
      <w:proofErr w:type="gramEnd"/>
      <w:r w:rsidR="00CB4FE1">
        <w:rPr>
          <w:rFonts w:cs="Arial"/>
          <w:szCs w:val="20"/>
          <w:lang w:val="en-NZ"/>
        </w:rPr>
        <w:t xml:space="preserve"> learning, </w:t>
      </w:r>
      <w:r w:rsidR="005C35A7" w:rsidRPr="005C35A7">
        <w:rPr>
          <w:rFonts w:cs="Arial"/>
          <w:lang w:val="en-NZ"/>
        </w:rPr>
        <w:t xml:space="preserve">ATNZ staff member or contractor </w:t>
      </w:r>
      <w:r w:rsidRPr="005C35A7">
        <w:rPr>
          <w:rFonts w:cs="Arial"/>
          <w:lang w:val="en-NZ"/>
        </w:rPr>
        <w:t xml:space="preserve">may dismiss </w:t>
      </w:r>
      <w:r w:rsidR="00893B2F" w:rsidRPr="005C35A7">
        <w:rPr>
          <w:rFonts w:cs="Arial"/>
          <w:lang w:val="en-NZ"/>
        </w:rPr>
        <w:t>learner</w:t>
      </w:r>
      <w:r w:rsidRPr="005C35A7">
        <w:rPr>
          <w:rFonts w:cs="Arial"/>
          <w:lang w:val="en-NZ"/>
        </w:rPr>
        <w:t xml:space="preserve">s from attending the </w:t>
      </w:r>
      <w:r w:rsidR="00CB4FE1">
        <w:rPr>
          <w:rFonts w:cs="Arial"/>
          <w:lang w:val="en-NZ"/>
        </w:rPr>
        <w:t xml:space="preserve">work place, </w:t>
      </w:r>
      <w:r w:rsidRPr="005C35A7">
        <w:rPr>
          <w:rFonts w:cs="Arial"/>
          <w:lang w:val="en-NZ"/>
        </w:rPr>
        <w:t xml:space="preserve">class </w:t>
      </w:r>
      <w:r w:rsidR="00C53EBF" w:rsidRPr="005C35A7">
        <w:rPr>
          <w:rFonts w:cs="Arial"/>
          <w:lang w:val="en-NZ"/>
        </w:rPr>
        <w:t xml:space="preserve">or activity </w:t>
      </w:r>
      <w:r w:rsidR="00CB4FE1">
        <w:rPr>
          <w:rFonts w:cs="Arial"/>
          <w:lang w:val="en-NZ"/>
        </w:rPr>
        <w:t xml:space="preserve">immediately </w:t>
      </w:r>
      <w:r w:rsidRPr="005C35A7">
        <w:rPr>
          <w:rFonts w:cs="Arial"/>
          <w:lang w:val="en-NZ"/>
        </w:rPr>
        <w:t xml:space="preserve">for a period not exceeding </w:t>
      </w:r>
      <w:r w:rsidR="001D4973" w:rsidRPr="005C35A7">
        <w:rPr>
          <w:rFonts w:cs="Arial"/>
          <w:lang w:val="en-NZ"/>
        </w:rPr>
        <w:t>t</w:t>
      </w:r>
      <w:r w:rsidR="00CB4FE1">
        <w:rPr>
          <w:rFonts w:cs="Arial"/>
          <w:lang w:val="en-NZ"/>
        </w:rPr>
        <w:t>wo working days.</w:t>
      </w:r>
    </w:p>
    <w:p w14:paraId="399038EE" w14:textId="504B8D07" w:rsidR="007F061D" w:rsidRDefault="00341A62" w:rsidP="00341A62">
      <w:pPr>
        <w:pStyle w:val="BlockNumber"/>
        <w:ind w:left="1587" w:hanging="873"/>
        <w:rPr>
          <w:rFonts w:cs="Arial"/>
          <w:szCs w:val="20"/>
          <w:lang w:val="en-NZ"/>
        </w:rPr>
      </w:pPr>
      <w:r w:rsidRPr="0003653F">
        <w:rPr>
          <w:rFonts w:cs="Arial"/>
          <w:szCs w:val="20"/>
          <w:lang w:val="en-NZ"/>
        </w:rPr>
        <w:t xml:space="preserve">Where </w:t>
      </w:r>
      <w:r w:rsidR="00893B2F">
        <w:rPr>
          <w:rFonts w:cs="Arial"/>
          <w:szCs w:val="20"/>
          <w:lang w:val="en-NZ"/>
        </w:rPr>
        <w:t>learner</w:t>
      </w:r>
      <w:r w:rsidRPr="0003653F">
        <w:rPr>
          <w:rFonts w:cs="Arial"/>
          <w:szCs w:val="20"/>
          <w:lang w:val="en-NZ"/>
        </w:rPr>
        <w:t>s have been dismissed</w:t>
      </w:r>
      <w:r w:rsidR="00252620" w:rsidRPr="0003653F">
        <w:rPr>
          <w:rFonts w:cs="Arial"/>
          <w:szCs w:val="20"/>
          <w:lang w:val="en-NZ"/>
        </w:rPr>
        <w:t xml:space="preserve"> from </w:t>
      </w:r>
      <w:r w:rsidR="00CB4FE1">
        <w:rPr>
          <w:rFonts w:cs="Arial"/>
          <w:szCs w:val="20"/>
          <w:lang w:val="en-NZ"/>
        </w:rPr>
        <w:t xml:space="preserve">workplace, </w:t>
      </w:r>
      <w:r w:rsidR="00252620" w:rsidRPr="0003653F">
        <w:rPr>
          <w:rFonts w:cs="Arial"/>
          <w:szCs w:val="20"/>
          <w:lang w:val="en-NZ"/>
        </w:rPr>
        <w:t>class</w:t>
      </w:r>
      <w:r w:rsidR="00CB4FE1">
        <w:rPr>
          <w:rFonts w:cs="Arial"/>
          <w:szCs w:val="20"/>
          <w:lang w:val="en-NZ"/>
        </w:rPr>
        <w:t xml:space="preserve">, facility or </w:t>
      </w:r>
      <w:proofErr w:type="gramStart"/>
      <w:r w:rsidR="00CB4FE1">
        <w:rPr>
          <w:rFonts w:cs="Arial"/>
          <w:szCs w:val="20"/>
          <w:lang w:val="en-NZ"/>
        </w:rPr>
        <w:t>on line</w:t>
      </w:r>
      <w:proofErr w:type="gramEnd"/>
      <w:r w:rsidR="00CB4FE1">
        <w:rPr>
          <w:rFonts w:cs="Arial"/>
          <w:szCs w:val="20"/>
          <w:lang w:val="en-NZ"/>
        </w:rPr>
        <w:t xml:space="preserve"> learning environment u</w:t>
      </w:r>
      <w:r w:rsidRPr="0003653F">
        <w:rPr>
          <w:rFonts w:cs="Arial"/>
          <w:szCs w:val="20"/>
          <w:lang w:val="en-NZ"/>
        </w:rPr>
        <w:t>nder section 1</w:t>
      </w:r>
      <w:r w:rsidR="00572D46">
        <w:rPr>
          <w:rFonts w:cs="Arial"/>
          <w:szCs w:val="20"/>
          <w:lang w:val="en-NZ"/>
        </w:rPr>
        <w:t>3</w:t>
      </w:r>
      <w:r w:rsidRPr="0003653F">
        <w:rPr>
          <w:rFonts w:cs="Arial"/>
          <w:szCs w:val="20"/>
          <w:lang w:val="en-NZ"/>
        </w:rPr>
        <w:t xml:space="preserve">.2.1, the alleged incident </w:t>
      </w:r>
      <w:r w:rsidR="00A24CFA" w:rsidRPr="0003653F">
        <w:rPr>
          <w:rFonts w:cs="Arial"/>
          <w:szCs w:val="20"/>
          <w:lang w:val="en-NZ"/>
        </w:rPr>
        <w:t>shall</w:t>
      </w:r>
      <w:r w:rsidRPr="0003653F">
        <w:rPr>
          <w:rFonts w:cs="Arial"/>
          <w:szCs w:val="20"/>
          <w:lang w:val="en-NZ"/>
        </w:rPr>
        <w:t xml:space="preserve"> imme</w:t>
      </w:r>
      <w:r w:rsidR="00A8156D" w:rsidRPr="0003653F">
        <w:rPr>
          <w:rFonts w:cs="Arial"/>
          <w:szCs w:val="20"/>
          <w:lang w:val="en-NZ"/>
        </w:rPr>
        <w:t>diately be referred for a</w:t>
      </w:r>
      <w:r w:rsidRPr="0003653F">
        <w:rPr>
          <w:rFonts w:cs="Arial"/>
          <w:szCs w:val="20"/>
          <w:lang w:val="en-NZ"/>
        </w:rPr>
        <w:t xml:space="preserve"> full investigation in accordance with section 1</w:t>
      </w:r>
      <w:r w:rsidR="0031103F">
        <w:rPr>
          <w:rFonts w:cs="Arial"/>
          <w:szCs w:val="20"/>
          <w:lang w:val="en-NZ"/>
        </w:rPr>
        <w:t>3</w:t>
      </w:r>
      <w:r w:rsidRPr="0003653F">
        <w:rPr>
          <w:rFonts w:cs="Arial"/>
          <w:szCs w:val="20"/>
          <w:lang w:val="en-NZ"/>
        </w:rPr>
        <w:t>.3.</w:t>
      </w:r>
    </w:p>
    <w:p w14:paraId="6CE4D99A" w14:textId="4E870D03" w:rsidR="00341A62" w:rsidRPr="0003653F" w:rsidRDefault="00341A62" w:rsidP="00341A62">
      <w:pPr>
        <w:pStyle w:val="BlockNumber"/>
        <w:spacing w:after="60"/>
        <w:ind w:left="1587" w:hanging="873"/>
        <w:rPr>
          <w:rFonts w:cs="Arial"/>
          <w:szCs w:val="20"/>
          <w:lang w:val="en-NZ"/>
        </w:rPr>
      </w:pPr>
      <w:r w:rsidRPr="0003653F">
        <w:rPr>
          <w:rFonts w:cs="Arial"/>
          <w:b/>
          <w:szCs w:val="20"/>
          <w:lang w:val="en-NZ"/>
        </w:rPr>
        <w:t xml:space="preserve">Suspension: </w:t>
      </w:r>
      <w:r w:rsidRPr="0003653F">
        <w:rPr>
          <w:rFonts w:cs="Arial"/>
          <w:szCs w:val="20"/>
          <w:lang w:val="en-NZ"/>
        </w:rPr>
        <w:t xml:space="preserve">In </w:t>
      </w:r>
      <w:r w:rsidR="00C67A65" w:rsidRPr="0003653F">
        <w:rPr>
          <w:rFonts w:cs="Arial"/>
          <w:szCs w:val="20"/>
          <w:lang w:val="en-NZ"/>
        </w:rPr>
        <w:t xml:space="preserve">serious </w:t>
      </w:r>
      <w:r w:rsidRPr="0003653F">
        <w:rPr>
          <w:rFonts w:cs="Arial"/>
          <w:szCs w:val="20"/>
          <w:lang w:val="en-NZ"/>
        </w:rPr>
        <w:t xml:space="preserve">cases of alleged misconduct, the </w:t>
      </w:r>
      <w:r w:rsidR="00CB4FE1">
        <w:rPr>
          <w:rFonts w:cs="Arial"/>
          <w:szCs w:val="20"/>
          <w:lang w:val="en-NZ"/>
        </w:rPr>
        <w:t>PTE Manager</w:t>
      </w:r>
      <w:r w:rsidR="006170C8">
        <w:rPr>
          <w:rFonts w:cs="Arial"/>
          <w:szCs w:val="20"/>
          <w:lang w:val="en-NZ"/>
        </w:rPr>
        <w:t xml:space="preserve"> or </w:t>
      </w:r>
      <w:r w:rsidRPr="0003653F">
        <w:rPr>
          <w:rFonts w:cs="Arial"/>
          <w:szCs w:val="20"/>
          <w:lang w:val="en-NZ"/>
        </w:rPr>
        <w:t xml:space="preserve">Chief Executive may suspend </w:t>
      </w:r>
      <w:r w:rsidR="00893B2F">
        <w:rPr>
          <w:rFonts w:cs="Arial"/>
          <w:szCs w:val="20"/>
          <w:lang w:val="en-NZ"/>
        </w:rPr>
        <w:t>learner</w:t>
      </w:r>
      <w:r w:rsidRPr="0003653F">
        <w:rPr>
          <w:rFonts w:cs="Arial"/>
          <w:szCs w:val="20"/>
          <w:lang w:val="en-NZ"/>
        </w:rPr>
        <w:t xml:space="preserve">s from attending </w:t>
      </w:r>
      <w:r w:rsidR="00BB26BC">
        <w:rPr>
          <w:rFonts w:cs="Arial"/>
          <w:szCs w:val="20"/>
          <w:lang w:val="en-NZ"/>
        </w:rPr>
        <w:t xml:space="preserve">the workplace, </w:t>
      </w:r>
      <w:r w:rsidRPr="0003653F">
        <w:rPr>
          <w:rFonts w:cs="Arial"/>
          <w:szCs w:val="20"/>
          <w:lang w:val="en-NZ"/>
        </w:rPr>
        <w:t>classes</w:t>
      </w:r>
      <w:r w:rsidR="00BB26BC">
        <w:rPr>
          <w:rFonts w:cs="Arial"/>
          <w:szCs w:val="20"/>
          <w:lang w:val="en-NZ"/>
        </w:rPr>
        <w:t xml:space="preserve">, </w:t>
      </w:r>
      <w:proofErr w:type="gramStart"/>
      <w:r w:rsidR="00BB26BC">
        <w:rPr>
          <w:rFonts w:cs="Arial"/>
          <w:szCs w:val="20"/>
          <w:lang w:val="en-NZ"/>
        </w:rPr>
        <w:t>facility</w:t>
      </w:r>
      <w:proofErr w:type="gramEnd"/>
      <w:r w:rsidR="00BB26BC">
        <w:rPr>
          <w:rFonts w:cs="Arial"/>
          <w:szCs w:val="20"/>
          <w:lang w:val="en-NZ"/>
        </w:rPr>
        <w:t xml:space="preserve"> or activity </w:t>
      </w:r>
      <w:r w:rsidRPr="0003653F">
        <w:rPr>
          <w:rFonts w:cs="Arial"/>
          <w:szCs w:val="20"/>
          <w:lang w:val="en-NZ"/>
        </w:rPr>
        <w:t>to allow an investigation</w:t>
      </w:r>
      <w:r w:rsidR="00BB26BC">
        <w:rPr>
          <w:rFonts w:cs="Arial"/>
          <w:szCs w:val="20"/>
          <w:lang w:val="en-NZ"/>
        </w:rPr>
        <w:t xml:space="preserve"> </w:t>
      </w:r>
      <w:r w:rsidRPr="0003653F">
        <w:rPr>
          <w:rFonts w:cs="Arial"/>
          <w:szCs w:val="20"/>
          <w:lang w:val="en-NZ"/>
        </w:rPr>
        <w:t>to occur where</w:t>
      </w:r>
      <w:r w:rsidR="00252620" w:rsidRPr="0003653F">
        <w:rPr>
          <w:rFonts w:cs="Arial"/>
          <w:szCs w:val="20"/>
          <w:lang w:val="en-NZ"/>
        </w:rPr>
        <w:t xml:space="preserve"> </w:t>
      </w:r>
      <w:r w:rsidRPr="0003653F">
        <w:rPr>
          <w:rFonts w:cs="Arial"/>
          <w:szCs w:val="20"/>
          <w:lang w:val="en-NZ"/>
        </w:rPr>
        <w:t>it is determined</w:t>
      </w:r>
      <w:r w:rsidR="00252620" w:rsidRPr="0003653F">
        <w:rPr>
          <w:rFonts w:cs="Arial"/>
          <w:szCs w:val="20"/>
          <w:lang w:val="en-NZ"/>
        </w:rPr>
        <w:t xml:space="preserve">, on reasonable grounds, </w:t>
      </w:r>
      <w:r w:rsidR="00C67A65" w:rsidRPr="0003653F">
        <w:rPr>
          <w:rFonts w:cs="Arial"/>
          <w:szCs w:val="20"/>
          <w:lang w:val="en-NZ"/>
        </w:rPr>
        <w:t>that</w:t>
      </w:r>
      <w:r w:rsidRPr="0003653F">
        <w:rPr>
          <w:rFonts w:cs="Arial"/>
          <w:szCs w:val="20"/>
          <w:lang w:val="en-NZ"/>
        </w:rPr>
        <w:t>:</w:t>
      </w:r>
    </w:p>
    <w:p w14:paraId="227CCC4D" w14:textId="7B0F4684" w:rsidR="00341A62" w:rsidRPr="0003653F" w:rsidRDefault="00893B2F" w:rsidP="00341A62">
      <w:pPr>
        <w:pStyle w:val="Bullet1"/>
        <w:tabs>
          <w:tab w:val="clear" w:pos="1494"/>
        </w:tabs>
        <w:ind w:left="2127" w:hanging="426"/>
        <w:rPr>
          <w:rFonts w:cs="Arial"/>
          <w:lang w:val="en-NZ"/>
        </w:rPr>
      </w:pPr>
      <w:r>
        <w:rPr>
          <w:rFonts w:cs="Arial"/>
          <w:lang w:val="en-NZ"/>
        </w:rPr>
        <w:t>Learner</w:t>
      </w:r>
      <w:r w:rsidR="00341A62" w:rsidRPr="0003653F">
        <w:rPr>
          <w:rFonts w:cs="Arial"/>
          <w:lang w:val="en-NZ"/>
        </w:rPr>
        <w:t xml:space="preserve">s should not be </w:t>
      </w:r>
      <w:r w:rsidR="00FC2C1D" w:rsidRPr="0003653F">
        <w:rPr>
          <w:rFonts w:cs="Arial"/>
          <w:lang w:val="en-NZ"/>
        </w:rPr>
        <w:t>permitted</w:t>
      </w:r>
      <w:r w:rsidR="00341A62" w:rsidRPr="0003653F">
        <w:rPr>
          <w:rFonts w:cs="Arial"/>
          <w:lang w:val="en-NZ"/>
        </w:rPr>
        <w:t xml:space="preserve"> to </w:t>
      </w:r>
      <w:r w:rsidR="00BB26BC">
        <w:rPr>
          <w:rFonts w:cs="Arial"/>
          <w:lang w:val="en-NZ"/>
        </w:rPr>
        <w:t xml:space="preserve">engage in </w:t>
      </w:r>
      <w:r>
        <w:rPr>
          <w:rFonts w:cs="Arial"/>
          <w:lang w:val="en-NZ"/>
        </w:rPr>
        <w:t>ATNZ</w:t>
      </w:r>
      <w:r w:rsidR="00341A62" w:rsidRPr="0003653F">
        <w:rPr>
          <w:rFonts w:cs="Arial"/>
          <w:lang w:val="en-NZ"/>
        </w:rPr>
        <w:t xml:space="preserve"> </w:t>
      </w:r>
      <w:r w:rsidR="00BB26BC">
        <w:rPr>
          <w:rFonts w:cs="Arial"/>
          <w:lang w:val="en-NZ"/>
        </w:rPr>
        <w:t xml:space="preserve">activity </w:t>
      </w:r>
      <w:r w:rsidR="00341A62" w:rsidRPr="0003653F">
        <w:rPr>
          <w:rFonts w:cs="Arial"/>
          <w:lang w:val="en-NZ"/>
        </w:rPr>
        <w:t xml:space="preserve">until a decision on possible </w:t>
      </w:r>
      <w:r w:rsidR="00EC2D06" w:rsidRPr="0003653F">
        <w:rPr>
          <w:rFonts w:cs="Arial"/>
          <w:lang w:val="en-NZ"/>
        </w:rPr>
        <w:t>exclusion</w:t>
      </w:r>
      <w:r w:rsidR="00DA6DD7" w:rsidRPr="0003653F">
        <w:rPr>
          <w:rFonts w:cs="Arial"/>
          <w:lang w:val="en-NZ"/>
        </w:rPr>
        <w:t xml:space="preserve"> (see section 1</w:t>
      </w:r>
      <w:r w:rsidR="00572D46">
        <w:rPr>
          <w:rFonts w:cs="Arial"/>
          <w:lang w:val="en-NZ"/>
        </w:rPr>
        <w:t>3</w:t>
      </w:r>
      <w:r w:rsidR="00DA6DD7" w:rsidRPr="0003653F">
        <w:rPr>
          <w:rFonts w:cs="Arial"/>
          <w:lang w:val="en-NZ"/>
        </w:rPr>
        <w:t>.4.</w:t>
      </w:r>
      <w:r w:rsidR="006C5F21">
        <w:rPr>
          <w:rFonts w:cs="Arial"/>
          <w:lang w:val="en-NZ"/>
        </w:rPr>
        <w:t>6</w:t>
      </w:r>
      <w:r w:rsidR="00DA6DD7" w:rsidRPr="0003653F">
        <w:rPr>
          <w:rFonts w:cs="Arial"/>
          <w:lang w:val="en-NZ"/>
        </w:rPr>
        <w:t>)</w:t>
      </w:r>
      <w:r w:rsidR="00EC2D06" w:rsidRPr="0003653F">
        <w:rPr>
          <w:rFonts w:cs="Arial"/>
          <w:lang w:val="en-NZ"/>
        </w:rPr>
        <w:t xml:space="preserve"> </w:t>
      </w:r>
      <w:r w:rsidR="00341A62" w:rsidRPr="0003653F">
        <w:rPr>
          <w:rFonts w:cs="Arial"/>
          <w:lang w:val="en-NZ"/>
        </w:rPr>
        <w:t>is determined; or</w:t>
      </w:r>
    </w:p>
    <w:p w14:paraId="28B67A6B" w14:textId="6396B81B" w:rsidR="00341A62" w:rsidRDefault="00341A62" w:rsidP="00341A62">
      <w:pPr>
        <w:pStyle w:val="Bullet1"/>
        <w:tabs>
          <w:tab w:val="clear" w:pos="1494"/>
        </w:tabs>
        <w:spacing w:after="0"/>
        <w:ind w:left="2126" w:hanging="425"/>
        <w:rPr>
          <w:rFonts w:cs="Arial"/>
          <w:lang w:val="en-NZ"/>
        </w:rPr>
      </w:pPr>
      <w:r w:rsidRPr="0003653F">
        <w:rPr>
          <w:rFonts w:cs="Arial"/>
          <w:lang w:val="en-NZ"/>
        </w:rPr>
        <w:t xml:space="preserve">The misconduct is likely to harm other </w:t>
      </w:r>
      <w:r w:rsidR="00893B2F">
        <w:rPr>
          <w:rFonts w:cs="Arial"/>
          <w:lang w:val="en-NZ"/>
        </w:rPr>
        <w:t>learner</w:t>
      </w:r>
      <w:r w:rsidRPr="0003653F">
        <w:rPr>
          <w:rFonts w:cs="Arial"/>
          <w:lang w:val="en-NZ"/>
        </w:rPr>
        <w:t>s and/or staff.</w:t>
      </w:r>
    </w:p>
    <w:p w14:paraId="7B83298B" w14:textId="1411333C" w:rsidR="0044590B" w:rsidRDefault="0044590B" w:rsidP="0044590B">
      <w:pPr>
        <w:pStyle w:val="Bullet1"/>
        <w:numPr>
          <w:ilvl w:val="0"/>
          <w:numId w:val="0"/>
        </w:numPr>
        <w:spacing w:after="0"/>
        <w:ind w:left="2126"/>
        <w:rPr>
          <w:rFonts w:cs="Arial"/>
          <w:lang w:val="en-NZ"/>
        </w:rPr>
      </w:pPr>
    </w:p>
    <w:p w14:paraId="72E7533E" w14:textId="2118474A" w:rsidR="00BB26BC" w:rsidRDefault="00BB26BC" w:rsidP="0044590B">
      <w:pPr>
        <w:pStyle w:val="Bullet1"/>
        <w:numPr>
          <w:ilvl w:val="0"/>
          <w:numId w:val="0"/>
        </w:numPr>
        <w:spacing w:after="0"/>
        <w:ind w:left="2126"/>
        <w:rPr>
          <w:rFonts w:cs="Arial"/>
          <w:lang w:val="en-NZ"/>
        </w:rPr>
      </w:pPr>
    </w:p>
    <w:p w14:paraId="71DDAF0E" w14:textId="77777777" w:rsidR="00341A62" w:rsidRPr="00032FAF" w:rsidRDefault="00341A62" w:rsidP="00D17244">
      <w:pPr>
        <w:pStyle w:val="Heading2No"/>
        <w:spacing w:before="360"/>
        <w:rPr>
          <w:rFonts w:cs="Arial"/>
          <w:szCs w:val="20"/>
          <w:lang w:val="en-NZ"/>
        </w:rPr>
      </w:pPr>
      <w:r w:rsidRPr="00032FAF">
        <w:rPr>
          <w:rFonts w:cs="Arial"/>
          <w:szCs w:val="20"/>
          <w:lang w:val="en-NZ"/>
        </w:rPr>
        <w:t>Investigation</w:t>
      </w:r>
    </w:p>
    <w:p w14:paraId="6091AC23" w14:textId="1B5F1AEF" w:rsidR="00341A62" w:rsidRPr="0003653F" w:rsidRDefault="00341A62" w:rsidP="00341A62">
      <w:pPr>
        <w:pStyle w:val="BlockNumber"/>
        <w:ind w:left="1587" w:hanging="873"/>
        <w:rPr>
          <w:rFonts w:cs="Arial"/>
          <w:szCs w:val="20"/>
          <w:lang w:val="en-NZ"/>
        </w:rPr>
      </w:pPr>
      <w:r w:rsidRPr="0003653F">
        <w:rPr>
          <w:rFonts w:cs="Arial"/>
          <w:szCs w:val="20"/>
          <w:lang w:val="en-NZ"/>
        </w:rPr>
        <w:t>Investigation</w:t>
      </w:r>
      <w:r w:rsidR="00252620" w:rsidRPr="0003653F">
        <w:rPr>
          <w:rFonts w:cs="Arial"/>
          <w:szCs w:val="20"/>
          <w:lang w:val="en-NZ"/>
        </w:rPr>
        <w:t>s</w:t>
      </w:r>
      <w:r w:rsidRPr="0003653F">
        <w:rPr>
          <w:rFonts w:cs="Arial"/>
          <w:szCs w:val="20"/>
          <w:lang w:val="en-NZ"/>
        </w:rPr>
        <w:t xml:space="preserve"> into alleged incident</w:t>
      </w:r>
      <w:r w:rsidR="00252620" w:rsidRPr="0003653F">
        <w:rPr>
          <w:rFonts w:cs="Arial"/>
          <w:szCs w:val="20"/>
          <w:lang w:val="en-NZ"/>
        </w:rPr>
        <w:t>s</w:t>
      </w:r>
      <w:r w:rsidRPr="0003653F">
        <w:rPr>
          <w:rFonts w:cs="Arial"/>
          <w:szCs w:val="20"/>
          <w:lang w:val="en-NZ"/>
        </w:rPr>
        <w:t xml:space="preserve"> of misconduct shall be implemented </w:t>
      </w:r>
      <w:r w:rsidR="00C53EBF">
        <w:rPr>
          <w:rFonts w:cs="Arial"/>
          <w:szCs w:val="20"/>
          <w:lang w:val="en-NZ"/>
        </w:rPr>
        <w:t xml:space="preserve">as soon as possible but in all cases </w:t>
      </w:r>
      <w:r w:rsidRPr="0003653F">
        <w:rPr>
          <w:rFonts w:cs="Arial"/>
          <w:szCs w:val="20"/>
          <w:lang w:val="en-NZ"/>
        </w:rPr>
        <w:t xml:space="preserve">within </w:t>
      </w:r>
      <w:r w:rsidR="00C53EBF">
        <w:rPr>
          <w:rFonts w:cs="Arial"/>
          <w:szCs w:val="20"/>
          <w:lang w:val="en-NZ"/>
        </w:rPr>
        <w:t>five</w:t>
      </w:r>
      <w:r w:rsidRPr="0003653F">
        <w:rPr>
          <w:rFonts w:cs="Arial"/>
          <w:szCs w:val="20"/>
          <w:lang w:val="en-NZ"/>
        </w:rPr>
        <w:t xml:space="preserve"> working days of the incident occurring or becoming known</w:t>
      </w:r>
      <w:r w:rsidR="00920C36" w:rsidRPr="0003653F">
        <w:rPr>
          <w:rFonts w:cs="Arial"/>
          <w:szCs w:val="20"/>
          <w:lang w:val="en-NZ"/>
        </w:rPr>
        <w:t xml:space="preserve"> to </w:t>
      </w:r>
      <w:r w:rsidR="00893B2F">
        <w:rPr>
          <w:rFonts w:cs="Arial"/>
          <w:szCs w:val="20"/>
          <w:lang w:val="en-NZ"/>
        </w:rPr>
        <w:t>ATNZ</w:t>
      </w:r>
      <w:r w:rsidRPr="0003653F">
        <w:rPr>
          <w:rFonts w:cs="Arial"/>
          <w:szCs w:val="20"/>
          <w:lang w:val="en-NZ"/>
        </w:rPr>
        <w:t xml:space="preserve">.  </w:t>
      </w:r>
    </w:p>
    <w:p w14:paraId="4F85A4E3" w14:textId="77777777" w:rsidR="0017477B" w:rsidRPr="0003653F" w:rsidRDefault="0017477B" w:rsidP="0058492C">
      <w:pPr>
        <w:pStyle w:val="BlockNumber"/>
        <w:ind w:left="1587" w:hanging="873"/>
        <w:rPr>
          <w:rFonts w:cs="Arial"/>
          <w:szCs w:val="20"/>
          <w:lang w:val="en-NZ"/>
        </w:rPr>
      </w:pPr>
      <w:r w:rsidRPr="0003653F">
        <w:rPr>
          <w:rFonts w:cs="Arial"/>
          <w:szCs w:val="20"/>
          <w:lang w:val="en-NZ"/>
        </w:rPr>
        <w:t>I</w:t>
      </w:r>
      <w:r w:rsidR="00354A6F" w:rsidRPr="0003653F">
        <w:rPr>
          <w:rFonts w:cs="Arial"/>
          <w:szCs w:val="20"/>
          <w:lang w:val="en-NZ"/>
        </w:rPr>
        <w:t xml:space="preserve">nvestigations into alleged misconduct shall be carried out by a person independent of the incident.  </w:t>
      </w:r>
    </w:p>
    <w:p w14:paraId="7B4EA9A9" w14:textId="77777777" w:rsidR="00BB26BC" w:rsidRDefault="0055484E" w:rsidP="0058492C">
      <w:pPr>
        <w:pStyle w:val="BlockNumber"/>
        <w:ind w:left="1587" w:hanging="873"/>
        <w:rPr>
          <w:rFonts w:cs="Arial"/>
          <w:szCs w:val="20"/>
          <w:lang w:val="en-NZ"/>
        </w:rPr>
      </w:pPr>
      <w:r>
        <w:rPr>
          <w:rFonts w:cs="Arial"/>
          <w:szCs w:val="20"/>
          <w:lang w:val="en-NZ"/>
        </w:rPr>
        <w:t>I</w:t>
      </w:r>
      <w:r w:rsidR="002D2CB4" w:rsidRPr="0003653F">
        <w:rPr>
          <w:rFonts w:cs="Arial"/>
          <w:szCs w:val="20"/>
          <w:lang w:val="en-NZ"/>
        </w:rPr>
        <w:t xml:space="preserve">n the first instance </w:t>
      </w:r>
      <w:r w:rsidR="00354A6F" w:rsidRPr="0003653F">
        <w:rPr>
          <w:rFonts w:cs="Arial"/>
          <w:szCs w:val="20"/>
          <w:lang w:val="en-NZ"/>
        </w:rPr>
        <w:t xml:space="preserve">the </w:t>
      </w:r>
      <w:r w:rsidR="00BB26BC">
        <w:rPr>
          <w:rFonts w:cs="Arial"/>
          <w:szCs w:val="20"/>
          <w:lang w:val="en-NZ"/>
        </w:rPr>
        <w:t xml:space="preserve">PTE Manager </w:t>
      </w:r>
      <w:r w:rsidR="00354A6F" w:rsidRPr="0003653F">
        <w:rPr>
          <w:rFonts w:cs="Arial"/>
          <w:szCs w:val="20"/>
          <w:lang w:val="en-NZ"/>
        </w:rPr>
        <w:t>shall be responsible for the investigation</w:t>
      </w:r>
      <w:r w:rsidR="002D2CB4" w:rsidRPr="0003653F">
        <w:rPr>
          <w:rFonts w:cs="Arial"/>
          <w:szCs w:val="20"/>
          <w:lang w:val="en-NZ"/>
        </w:rPr>
        <w:t xml:space="preserve"> of alleged incidents of misconduct</w:t>
      </w:r>
      <w:r w:rsidR="00354A6F" w:rsidRPr="0003653F">
        <w:rPr>
          <w:rFonts w:cs="Arial"/>
          <w:szCs w:val="20"/>
          <w:lang w:val="en-NZ"/>
        </w:rPr>
        <w:t xml:space="preserve"> and for determining the outcome (including penalties if required).  </w:t>
      </w:r>
    </w:p>
    <w:p w14:paraId="55138110" w14:textId="593FAFF8" w:rsidR="00341A62" w:rsidRPr="0003653F" w:rsidRDefault="00341A62" w:rsidP="00BB26BC">
      <w:pPr>
        <w:pStyle w:val="BlockNumber"/>
        <w:numPr>
          <w:ilvl w:val="0"/>
          <w:numId w:val="0"/>
        </w:numPr>
        <w:ind w:left="1587"/>
        <w:rPr>
          <w:rFonts w:cs="Arial"/>
          <w:szCs w:val="20"/>
          <w:lang w:val="en-NZ"/>
        </w:rPr>
      </w:pPr>
      <w:r w:rsidRPr="0003653F">
        <w:rPr>
          <w:rFonts w:cs="Arial"/>
          <w:szCs w:val="20"/>
          <w:lang w:val="en-NZ"/>
        </w:rPr>
        <w:t xml:space="preserve">Responsibility </w:t>
      </w:r>
      <w:r w:rsidR="00A24CFA" w:rsidRPr="0003653F">
        <w:rPr>
          <w:rFonts w:cs="Arial"/>
          <w:szCs w:val="20"/>
          <w:lang w:val="en-NZ"/>
        </w:rPr>
        <w:t>shall</w:t>
      </w:r>
      <w:r w:rsidRPr="0003653F">
        <w:rPr>
          <w:rFonts w:cs="Arial"/>
          <w:szCs w:val="20"/>
          <w:lang w:val="en-NZ"/>
        </w:rPr>
        <w:t xml:space="preserve"> move to the </w:t>
      </w:r>
      <w:r w:rsidR="00BB26BC">
        <w:rPr>
          <w:rFonts w:cs="Arial"/>
          <w:szCs w:val="20"/>
          <w:lang w:val="en-NZ"/>
        </w:rPr>
        <w:t xml:space="preserve">Chief Executive </w:t>
      </w:r>
    </w:p>
    <w:p w14:paraId="684B3287" w14:textId="645BF3E7" w:rsidR="00341A62" w:rsidRPr="0003653F" w:rsidRDefault="00341A62" w:rsidP="00341A62">
      <w:pPr>
        <w:pStyle w:val="Bullet1"/>
        <w:tabs>
          <w:tab w:val="clear" w:pos="1494"/>
        </w:tabs>
        <w:ind w:left="2127" w:hanging="426"/>
        <w:rPr>
          <w:rFonts w:cs="Arial"/>
          <w:lang w:val="en-NZ"/>
        </w:rPr>
      </w:pPr>
      <w:r w:rsidRPr="0003653F">
        <w:rPr>
          <w:rFonts w:cs="Arial"/>
          <w:lang w:val="en-NZ"/>
        </w:rPr>
        <w:t xml:space="preserve">In the absence of the </w:t>
      </w:r>
      <w:r w:rsidR="00BB26BC">
        <w:rPr>
          <w:rFonts w:cs="Arial"/>
          <w:lang w:val="en-NZ"/>
        </w:rPr>
        <w:t xml:space="preserve">PTE </w:t>
      </w:r>
      <w:proofErr w:type="gramStart"/>
      <w:r w:rsidR="00BB26BC">
        <w:rPr>
          <w:rFonts w:cs="Arial"/>
          <w:lang w:val="en-NZ"/>
        </w:rPr>
        <w:t>Manager</w:t>
      </w:r>
      <w:r w:rsidRPr="0003653F">
        <w:rPr>
          <w:rFonts w:cs="Arial"/>
          <w:lang w:val="en-NZ"/>
        </w:rPr>
        <w:t>;</w:t>
      </w:r>
      <w:proofErr w:type="gramEnd"/>
      <w:r w:rsidRPr="0003653F">
        <w:rPr>
          <w:rFonts w:cs="Arial"/>
          <w:lang w:val="en-NZ"/>
        </w:rPr>
        <w:t xml:space="preserve"> </w:t>
      </w:r>
    </w:p>
    <w:p w14:paraId="27DE5E94" w14:textId="3F673CB4" w:rsidR="00341A62" w:rsidRPr="0003653F" w:rsidRDefault="00341A62" w:rsidP="00341A62">
      <w:pPr>
        <w:pStyle w:val="Bullet1"/>
        <w:tabs>
          <w:tab w:val="clear" w:pos="1494"/>
        </w:tabs>
        <w:ind w:left="2127" w:hanging="426"/>
        <w:rPr>
          <w:rFonts w:cs="Arial"/>
          <w:lang w:val="en-NZ"/>
        </w:rPr>
      </w:pPr>
      <w:r w:rsidRPr="0003653F">
        <w:rPr>
          <w:rFonts w:cs="Arial"/>
          <w:lang w:val="en-NZ"/>
        </w:rPr>
        <w:t xml:space="preserve">Where the </w:t>
      </w:r>
      <w:r w:rsidR="00BB26BC">
        <w:rPr>
          <w:rFonts w:cs="Arial"/>
          <w:lang w:val="en-NZ"/>
        </w:rPr>
        <w:t xml:space="preserve">PTE Manager </w:t>
      </w:r>
      <w:r w:rsidRPr="0003653F">
        <w:rPr>
          <w:rFonts w:cs="Arial"/>
          <w:lang w:val="en-NZ"/>
        </w:rPr>
        <w:t xml:space="preserve">has a conflict of interest, is </w:t>
      </w:r>
      <w:proofErr w:type="gramStart"/>
      <w:r w:rsidRPr="0003653F">
        <w:rPr>
          <w:rFonts w:cs="Arial"/>
          <w:lang w:val="en-NZ"/>
        </w:rPr>
        <w:t>implicated</w:t>
      </w:r>
      <w:proofErr w:type="gramEnd"/>
      <w:r w:rsidRPr="0003653F">
        <w:rPr>
          <w:rFonts w:cs="Arial"/>
          <w:lang w:val="en-NZ"/>
        </w:rPr>
        <w:t xml:space="preserve"> or otherwise involved in the alleged incident of misconduct; or</w:t>
      </w:r>
    </w:p>
    <w:p w14:paraId="18DF1F12" w14:textId="69CB4868" w:rsidR="00341A62" w:rsidRPr="0003653F" w:rsidRDefault="00341A62" w:rsidP="00341A62">
      <w:pPr>
        <w:pStyle w:val="Bullet1"/>
        <w:tabs>
          <w:tab w:val="clear" w:pos="1494"/>
        </w:tabs>
        <w:ind w:left="2127" w:hanging="426"/>
        <w:rPr>
          <w:rFonts w:cs="Arial"/>
          <w:lang w:val="en-NZ"/>
        </w:rPr>
      </w:pPr>
      <w:r w:rsidRPr="0003653F">
        <w:rPr>
          <w:rFonts w:cs="Arial"/>
          <w:lang w:val="en-NZ"/>
        </w:rPr>
        <w:t xml:space="preserve">The nature and circumstances of the alleged incident of misconduct are such that it is not appropriate for the </w:t>
      </w:r>
      <w:r w:rsidR="00BB26BC">
        <w:rPr>
          <w:rFonts w:cs="Arial"/>
          <w:lang w:val="en-NZ"/>
        </w:rPr>
        <w:t xml:space="preserve">PTE Manager </w:t>
      </w:r>
      <w:r w:rsidRPr="0003653F">
        <w:rPr>
          <w:rFonts w:cs="Arial"/>
          <w:lang w:val="en-NZ"/>
        </w:rPr>
        <w:t>to be responsible for the investigation and determination.</w:t>
      </w:r>
    </w:p>
    <w:p w14:paraId="42B7BE12" w14:textId="170D90D7" w:rsidR="00354A6F" w:rsidRPr="0003653F" w:rsidRDefault="00354A6F" w:rsidP="00354A6F">
      <w:pPr>
        <w:pStyle w:val="Bullet1"/>
        <w:numPr>
          <w:ilvl w:val="0"/>
          <w:numId w:val="0"/>
        </w:numPr>
        <w:ind w:left="1701"/>
        <w:rPr>
          <w:rFonts w:cs="Arial"/>
        </w:rPr>
      </w:pPr>
      <w:r w:rsidRPr="0003653F">
        <w:rPr>
          <w:rFonts w:cs="Arial"/>
          <w:b/>
          <w:bCs/>
        </w:rPr>
        <w:t xml:space="preserve">Note: </w:t>
      </w:r>
      <w:r w:rsidRPr="0003653F">
        <w:rPr>
          <w:rFonts w:cs="Arial"/>
        </w:rPr>
        <w:t xml:space="preserve">This does not mean that the </w:t>
      </w:r>
      <w:r w:rsidR="00BB26BC">
        <w:rPr>
          <w:rFonts w:cs="Arial"/>
        </w:rPr>
        <w:t xml:space="preserve">PTE Manager or Chief Executive </w:t>
      </w:r>
      <w:r w:rsidR="0055003E" w:rsidRPr="0003653F">
        <w:rPr>
          <w:rFonts w:cs="Arial"/>
        </w:rPr>
        <w:t>will</w:t>
      </w:r>
      <w:r w:rsidRPr="0003653F">
        <w:rPr>
          <w:rFonts w:cs="Arial"/>
        </w:rPr>
        <w:t xml:space="preserve"> personally investigate the incident. They may </w:t>
      </w:r>
      <w:proofErr w:type="spellStart"/>
      <w:r w:rsidRPr="0003653F">
        <w:rPr>
          <w:rFonts w:cs="Arial"/>
        </w:rPr>
        <w:t>authorise</w:t>
      </w:r>
      <w:proofErr w:type="spellEnd"/>
      <w:r w:rsidRPr="0003653F">
        <w:rPr>
          <w:rFonts w:cs="Arial"/>
        </w:rPr>
        <w:t xml:space="preserve"> a member of staff </w:t>
      </w:r>
      <w:r w:rsidR="000F0592">
        <w:rPr>
          <w:rFonts w:cs="Arial"/>
        </w:rPr>
        <w:t xml:space="preserve">with suitable expertise and experience </w:t>
      </w:r>
      <w:r w:rsidRPr="0003653F">
        <w:rPr>
          <w:rFonts w:cs="Arial"/>
        </w:rPr>
        <w:t xml:space="preserve">to undertake the investigation on their behalf. </w:t>
      </w:r>
      <w:r w:rsidR="00370B95" w:rsidRPr="0003653F">
        <w:rPr>
          <w:rFonts w:cs="Arial"/>
        </w:rPr>
        <w:t xml:space="preserve"> In such cases</w:t>
      </w:r>
      <w:r w:rsidRPr="0003653F">
        <w:rPr>
          <w:rFonts w:cs="Arial"/>
        </w:rPr>
        <w:t xml:space="preserve"> the </w:t>
      </w:r>
      <w:r w:rsidR="00BB26BC">
        <w:rPr>
          <w:rFonts w:cs="Arial"/>
        </w:rPr>
        <w:t xml:space="preserve">PTE Manager of Chief Executive </w:t>
      </w:r>
      <w:r w:rsidRPr="0003653F">
        <w:rPr>
          <w:rFonts w:cs="Arial"/>
        </w:rPr>
        <w:t>retains overall responsibility for the process.</w:t>
      </w:r>
    </w:p>
    <w:p w14:paraId="1E038BC9" w14:textId="364C5A3E" w:rsidR="00341A62" w:rsidRPr="0003653F" w:rsidRDefault="00341A62" w:rsidP="00C67A65">
      <w:pPr>
        <w:pStyle w:val="BlockNumber"/>
        <w:spacing w:after="60"/>
        <w:ind w:left="1587" w:hanging="873"/>
        <w:rPr>
          <w:rFonts w:cs="Arial"/>
          <w:szCs w:val="20"/>
          <w:lang w:val="en-NZ"/>
        </w:rPr>
      </w:pPr>
      <w:r w:rsidRPr="0003653F">
        <w:rPr>
          <w:rFonts w:cs="Arial"/>
          <w:szCs w:val="20"/>
          <w:lang w:val="en-NZ"/>
        </w:rPr>
        <w:t xml:space="preserve">Where an alleged incident of misconduct is to be investigated, </w:t>
      </w:r>
      <w:r w:rsidR="00893B2F">
        <w:rPr>
          <w:rFonts w:cs="Arial"/>
          <w:szCs w:val="20"/>
          <w:lang w:val="en-NZ"/>
        </w:rPr>
        <w:t>learner</w:t>
      </w:r>
      <w:r w:rsidRPr="0003653F">
        <w:rPr>
          <w:rFonts w:cs="Arial"/>
          <w:szCs w:val="20"/>
          <w:lang w:val="en-NZ"/>
        </w:rPr>
        <w:t xml:space="preserve">s shall </w:t>
      </w:r>
      <w:r w:rsidR="004D3BB3" w:rsidRPr="0003653F">
        <w:rPr>
          <w:rFonts w:cs="Arial"/>
          <w:szCs w:val="20"/>
          <w:lang w:val="en-NZ"/>
        </w:rPr>
        <w:t xml:space="preserve">in writing </w:t>
      </w:r>
      <w:r w:rsidRPr="0003653F">
        <w:rPr>
          <w:rFonts w:cs="Arial"/>
          <w:szCs w:val="20"/>
          <w:lang w:val="en-NZ"/>
        </w:rPr>
        <w:t>be:</w:t>
      </w:r>
    </w:p>
    <w:p w14:paraId="0916704B" w14:textId="77777777" w:rsidR="004D3BB3" w:rsidRPr="0003653F" w:rsidRDefault="00341A62" w:rsidP="00C67A65">
      <w:pPr>
        <w:pStyle w:val="Bullet1"/>
        <w:tabs>
          <w:tab w:val="clear" w:pos="1494"/>
        </w:tabs>
        <w:ind w:left="2127" w:hanging="426"/>
        <w:rPr>
          <w:rFonts w:cs="Arial"/>
          <w:lang w:val="en-NZ"/>
        </w:rPr>
      </w:pPr>
      <w:r w:rsidRPr="0003653F">
        <w:rPr>
          <w:rFonts w:cs="Arial"/>
          <w:lang w:val="en-NZ"/>
        </w:rPr>
        <w:t xml:space="preserve">Advised of the substance of the </w:t>
      </w:r>
      <w:r w:rsidR="004D3BB3" w:rsidRPr="0003653F">
        <w:rPr>
          <w:rFonts w:cs="Arial"/>
          <w:lang w:val="en-NZ"/>
        </w:rPr>
        <w:t>allegation</w:t>
      </w:r>
      <w:r w:rsidRPr="0003653F">
        <w:rPr>
          <w:rFonts w:cs="Arial"/>
          <w:lang w:val="en-NZ"/>
        </w:rPr>
        <w:t xml:space="preserve"> of </w:t>
      </w:r>
      <w:proofErr w:type="gramStart"/>
      <w:r w:rsidRPr="0003653F">
        <w:rPr>
          <w:rFonts w:cs="Arial"/>
          <w:lang w:val="en-NZ"/>
        </w:rPr>
        <w:t>misconduct</w:t>
      </w:r>
      <w:r w:rsidR="004D3BB3" w:rsidRPr="0003653F">
        <w:rPr>
          <w:rFonts w:cs="Arial"/>
          <w:lang w:val="en-NZ"/>
        </w:rPr>
        <w:t>;</w:t>
      </w:r>
      <w:proofErr w:type="gramEnd"/>
    </w:p>
    <w:p w14:paraId="3CDEB1A8" w14:textId="5EBDA3AB" w:rsidR="00341A62" w:rsidRPr="0003653F" w:rsidRDefault="004D3BB3" w:rsidP="004D3BB3">
      <w:pPr>
        <w:pStyle w:val="Bullet1"/>
        <w:tabs>
          <w:tab w:val="clear" w:pos="1494"/>
        </w:tabs>
        <w:ind w:left="2127" w:hanging="426"/>
        <w:rPr>
          <w:rFonts w:cs="Arial"/>
          <w:lang w:val="en-NZ"/>
        </w:rPr>
      </w:pPr>
      <w:r w:rsidRPr="0003653F">
        <w:rPr>
          <w:rFonts w:cs="Arial"/>
          <w:lang w:val="en-NZ"/>
        </w:rPr>
        <w:t xml:space="preserve">Advised of the support services available to them and referred to </w:t>
      </w:r>
      <w:r w:rsidR="00893B2F">
        <w:rPr>
          <w:rFonts w:cs="Arial"/>
          <w:lang w:val="en-NZ"/>
        </w:rPr>
        <w:t>Learner</w:t>
      </w:r>
      <w:r w:rsidRPr="0003653F">
        <w:rPr>
          <w:rFonts w:cs="Arial"/>
          <w:lang w:val="en-NZ"/>
        </w:rPr>
        <w:t xml:space="preserve"> Su</w:t>
      </w:r>
      <w:r w:rsidR="000F0592">
        <w:rPr>
          <w:rFonts w:cs="Arial"/>
          <w:lang w:val="en-NZ"/>
        </w:rPr>
        <w:t>pport</w:t>
      </w:r>
      <w:r w:rsidRPr="0003653F">
        <w:rPr>
          <w:rFonts w:cs="Arial"/>
          <w:lang w:val="en-NZ"/>
        </w:rPr>
        <w:t xml:space="preserve"> </w:t>
      </w:r>
      <w:proofErr w:type="gramStart"/>
      <w:r w:rsidRPr="0003653F">
        <w:rPr>
          <w:rFonts w:cs="Arial"/>
          <w:lang w:val="en-NZ"/>
        </w:rPr>
        <w:t>Services;</w:t>
      </w:r>
      <w:proofErr w:type="gramEnd"/>
      <w:r w:rsidRPr="0003653F">
        <w:rPr>
          <w:rFonts w:cs="Arial"/>
          <w:lang w:val="en-NZ"/>
        </w:rPr>
        <w:t xml:space="preserve">  </w:t>
      </w:r>
    </w:p>
    <w:p w14:paraId="46524DA7" w14:textId="77777777" w:rsidR="00341A62" w:rsidRPr="0003653F" w:rsidRDefault="00341A62" w:rsidP="00C67A65">
      <w:pPr>
        <w:pStyle w:val="Bullet1"/>
        <w:tabs>
          <w:tab w:val="clear" w:pos="1494"/>
        </w:tabs>
        <w:ind w:left="2127" w:hanging="426"/>
        <w:rPr>
          <w:rFonts w:cs="Arial"/>
          <w:lang w:val="en-NZ"/>
        </w:rPr>
      </w:pPr>
      <w:r w:rsidRPr="0003653F">
        <w:rPr>
          <w:rFonts w:cs="Arial"/>
          <w:lang w:val="en-NZ"/>
        </w:rPr>
        <w:t xml:space="preserve">Requested to attend a meeting to personally provide an explanation or information relevant to the </w:t>
      </w:r>
      <w:proofErr w:type="gramStart"/>
      <w:r w:rsidRPr="0003653F">
        <w:rPr>
          <w:rFonts w:cs="Arial"/>
          <w:lang w:val="en-NZ"/>
        </w:rPr>
        <w:t>investigation;</w:t>
      </w:r>
      <w:proofErr w:type="gramEnd"/>
      <w:r w:rsidRPr="0003653F">
        <w:rPr>
          <w:rFonts w:cs="Arial"/>
          <w:lang w:val="en-NZ"/>
        </w:rPr>
        <w:t xml:space="preserve"> </w:t>
      </w:r>
    </w:p>
    <w:p w14:paraId="5E79CE6B" w14:textId="4C4CD5B1" w:rsidR="00341A62" w:rsidRPr="0003653F" w:rsidRDefault="004D3BB3" w:rsidP="004D3BB3">
      <w:pPr>
        <w:pStyle w:val="Bullet1"/>
        <w:tabs>
          <w:tab w:val="clear" w:pos="1494"/>
        </w:tabs>
        <w:ind w:left="2127" w:hanging="426"/>
        <w:rPr>
          <w:rFonts w:cs="Arial"/>
          <w:lang w:val="en-NZ"/>
        </w:rPr>
      </w:pPr>
      <w:r w:rsidRPr="0003653F">
        <w:rPr>
          <w:rFonts w:cs="Arial"/>
          <w:lang w:val="en-NZ"/>
        </w:rPr>
        <w:t xml:space="preserve">Advised of their right to seek independent advice and to invite a representative and/or support person/people to be present at the meeting should they wish.  </w:t>
      </w:r>
      <w:r w:rsidR="00893B2F">
        <w:rPr>
          <w:rFonts w:cs="Arial"/>
          <w:lang w:val="en-NZ"/>
        </w:rPr>
        <w:t>ATNZ</w:t>
      </w:r>
      <w:r w:rsidR="00DA5D34" w:rsidRPr="0003653F">
        <w:rPr>
          <w:rFonts w:cs="Arial"/>
          <w:lang w:val="en-NZ"/>
        </w:rPr>
        <w:t xml:space="preserve"> will provide a support person if required</w:t>
      </w:r>
      <w:r w:rsidR="00341A62" w:rsidRPr="0003653F">
        <w:rPr>
          <w:rFonts w:cs="Arial"/>
          <w:lang w:val="en-NZ"/>
        </w:rPr>
        <w:t>;</w:t>
      </w:r>
      <w:r w:rsidR="002D2CB4" w:rsidRPr="0003653F">
        <w:rPr>
          <w:rFonts w:cs="Arial"/>
          <w:lang w:val="en-NZ"/>
        </w:rPr>
        <w:t xml:space="preserve"> and</w:t>
      </w:r>
    </w:p>
    <w:p w14:paraId="01F0B50B" w14:textId="5DEC4B79" w:rsidR="00341A62" w:rsidRPr="0003653F" w:rsidRDefault="00341A62" w:rsidP="00C67A65">
      <w:pPr>
        <w:pStyle w:val="Bullet1"/>
        <w:tabs>
          <w:tab w:val="clear" w:pos="1494"/>
        </w:tabs>
        <w:ind w:left="2127" w:hanging="426"/>
        <w:rPr>
          <w:rFonts w:cs="Arial"/>
          <w:lang w:val="en-NZ"/>
        </w:rPr>
      </w:pPr>
      <w:r w:rsidRPr="0003653F">
        <w:rPr>
          <w:rFonts w:cs="Arial"/>
          <w:lang w:val="en-NZ"/>
        </w:rPr>
        <w:t>Provided</w:t>
      </w:r>
      <w:r w:rsidR="00C67A65" w:rsidRPr="0003653F">
        <w:rPr>
          <w:rFonts w:cs="Arial"/>
          <w:lang w:val="en-NZ"/>
        </w:rPr>
        <w:t xml:space="preserve"> </w:t>
      </w:r>
      <w:r w:rsidRPr="0003653F">
        <w:rPr>
          <w:rFonts w:cs="Arial"/>
          <w:lang w:val="en-NZ"/>
        </w:rPr>
        <w:t>with all information pertaining to the alleged incident of misconduct</w:t>
      </w:r>
      <w:r w:rsidR="00C67A65" w:rsidRPr="0003653F">
        <w:rPr>
          <w:rFonts w:cs="Arial"/>
          <w:lang w:val="en-NZ"/>
        </w:rPr>
        <w:t xml:space="preserve"> ahead of the meeting </w:t>
      </w:r>
      <w:r w:rsidRPr="0003653F">
        <w:rPr>
          <w:rFonts w:cs="Arial"/>
          <w:lang w:val="en-NZ"/>
        </w:rPr>
        <w:t xml:space="preserve">(without compromising privacy rights and responsibilities), including a </w:t>
      </w:r>
      <w:r w:rsidRPr="0003653F">
        <w:rPr>
          <w:rFonts w:cs="Arial"/>
          <w:lang w:val="en-NZ"/>
        </w:rPr>
        <w:lastRenderedPageBreak/>
        <w:t xml:space="preserve">copy of the </w:t>
      </w:r>
      <w:r w:rsidR="00893B2F">
        <w:rPr>
          <w:rFonts w:cs="Arial"/>
          <w:i/>
          <w:lang w:val="en-NZ"/>
        </w:rPr>
        <w:t>Learner</w:t>
      </w:r>
      <w:r w:rsidR="000F19C5" w:rsidRPr="0003653F">
        <w:rPr>
          <w:rFonts w:cs="Arial"/>
          <w:i/>
          <w:lang w:val="en-NZ"/>
        </w:rPr>
        <w:t xml:space="preserve"> </w:t>
      </w:r>
      <w:r w:rsidRPr="0003653F">
        <w:rPr>
          <w:rFonts w:cs="Arial"/>
          <w:i/>
          <w:lang w:val="en-NZ"/>
        </w:rPr>
        <w:t>Regulations</w:t>
      </w:r>
      <w:r w:rsidRPr="0003653F">
        <w:rPr>
          <w:rFonts w:cs="Arial"/>
          <w:lang w:val="en-NZ"/>
        </w:rPr>
        <w:t xml:space="preserve">, information on </w:t>
      </w:r>
      <w:r w:rsidR="00893B2F">
        <w:rPr>
          <w:rFonts w:cs="Arial"/>
          <w:lang w:val="en-NZ"/>
        </w:rPr>
        <w:t>ATNZ</w:t>
      </w:r>
      <w:r w:rsidR="00AE6A57" w:rsidRPr="0003653F">
        <w:rPr>
          <w:rFonts w:cs="Arial"/>
          <w:lang w:val="en-NZ"/>
        </w:rPr>
        <w:t xml:space="preserve">’s </w:t>
      </w:r>
      <w:r w:rsidRPr="0003653F">
        <w:rPr>
          <w:rFonts w:cs="Arial"/>
          <w:lang w:val="en-NZ"/>
        </w:rPr>
        <w:t xml:space="preserve">process for dealing with misconduct and </w:t>
      </w:r>
      <w:r w:rsidR="00AE6A57" w:rsidRPr="0003653F">
        <w:rPr>
          <w:rFonts w:cs="Arial"/>
          <w:lang w:val="en-NZ"/>
        </w:rPr>
        <w:t xml:space="preserve">the </w:t>
      </w:r>
      <w:r w:rsidRPr="0003653F">
        <w:rPr>
          <w:rFonts w:cs="Arial"/>
          <w:lang w:val="en-NZ"/>
        </w:rPr>
        <w:t>likely time</w:t>
      </w:r>
      <w:r w:rsidR="00835A51" w:rsidRPr="0003653F">
        <w:rPr>
          <w:rFonts w:cs="Arial"/>
          <w:lang w:val="en-NZ"/>
        </w:rPr>
        <w:t xml:space="preserve"> </w:t>
      </w:r>
      <w:r w:rsidRPr="0003653F">
        <w:rPr>
          <w:rFonts w:cs="Arial"/>
          <w:lang w:val="en-NZ"/>
        </w:rPr>
        <w:t>frame for the investigation</w:t>
      </w:r>
      <w:r w:rsidR="0081110D" w:rsidRPr="0003653F">
        <w:rPr>
          <w:rFonts w:cs="Arial"/>
          <w:lang w:val="en-NZ"/>
        </w:rPr>
        <w:t>.</w:t>
      </w:r>
    </w:p>
    <w:p w14:paraId="0A5E1621" w14:textId="7081874C" w:rsidR="00676D31" w:rsidRPr="0003653F" w:rsidRDefault="00676D31" w:rsidP="00676D31">
      <w:pPr>
        <w:pStyle w:val="Bullet1"/>
        <w:numPr>
          <w:ilvl w:val="0"/>
          <w:numId w:val="0"/>
        </w:numPr>
        <w:ind w:left="1701"/>
        <w:rPr>
          <w:rFonts w:cs="Arial"/>
          <w:lang w:val="en-NZ"/>
        </w:rPr>
      </w:pPr>
      <w:r w:rsidRPr="0003653F">
        <w:rPr>
          <w:rFonts w:cs="Arial"/>
          <w:lang w:val="en-NZ"/>
        </w:rPr>
        <w:t>This advi</w:t>
      </w:r>
      <w:r w:rsidR="009F7C59" w:rsidRPr="0003653F">
        <w:rPr>
          <w:rFonts w:cs="Arial"/>
          <w:lang w:val="en-NZ"/>
        </w:rPr>
        <w:t>c</w:t>
      </w:r>
      <w:r w:rsidRPr="0003653F">
        <w:rPr>
          <w:rFonts w:cs="Arial"/>
          <w:lang w:val="en-NZ"/>
        </w:rPr>
        <w:t>e will usually be provided within five working days of the alleged incident taking place.  If for whatever reason this time</w:t>
      </w:r>
      <w:r w:rsidR="00835A51" w:rsidRPr="0003653F">
        <w:rPr>
          <w:rFonts w:cs="Arial"/>
          <w:lang w:val="en-NZ"/>
        </w:rPr>
        <w:t xml:space="preserve"> </w:t>
      </w:r>
      <w:r w:rsidRPr="0003653F">
        <w:rPr>
          <w:rFonts w:cs="Arial"/>
          <w:lang w:val="en-NZ"/>
        </w:rPr>
        <w:t xml:space="preserve">frame is unable to be met, the </w:t>
      </w:r>
      <w:r w:rsidR="00893B2F">
        <w:rPr>
          <w:rFonts w:cs="Arial"/>
          <w:lang w:val="en-NZ"/>
        </w:rPr>
        <w:t>learner</w:t>
      </w:r>
      <w:r w:rsidRPr="0003653F">
        <w:rPr>
          <w:rFonts w:cs="Arial"/>
          <w:lang w:val="en-NZ"/>
        </w:rPr>
        <w:t xml:space="preserve"> will be kept informed of what is happening.  </w:t>
      </w:r>
    </w:p>
    <w:p w14:paraId="5683AD22" w14:textId="3E4953A4" w:rsidR="00341A62" w:rsidRPr="0003653F" w:rsidRDefault="00341A62" w:rsidP="00341A62">
      <w:pPr>
        <w:pStyle w:val="BlockNumber"/>
        <w:ind w:left="1587" w:hanging="873"/>
        <w:rPr>
          <w:rFonts w:cs="Arial"/>
          <w:szCs w:val="20"/>
          <w:lang w:val="en-NZ"/>
        </w:rPr>
      </w:pPr>
      <w:r w:rsidRPr="0003653F">
        <w:rPr>
          <w:rFonts w:cs="Arial"/>
          <w:szCs w:val="20"/>
          <w:lang w:val="en-NZ"/>
        </w:rPr>
        <w:t xml:space="preserve">The investigator shall outline the timeline and steps of the investigation process at the meeting.  </w:t>
      </w:r>
      <w:r w:rsidRPr="0003653F">
        <w:rPr>
          <w:rFonts w:cs="Arial"/>
          <w:szCs w:val="20"/>
        </w:rPr>
        <w:t xml:space="preserve">Failure by </w:t>
      </w:r>
      <w:r w:rsidR="00893B2F">
        <w:rPr>
          <w:rFonts w:cs="Arial"/>
          <w:szCs w:val="20"/>
        </w:rPr>
        <w:t>learner</w:t>
      </w:r>
      <w:r w:rsidRPr="0003653F">
        <w:rPr>
          <w:rFonts w:cs="Arial"/>
          <w:szCs w:val="20"/>
        </w:rPr>
        <w:t xml:space="preserve">s to attend the meeting </w:t>
      </w:r>
      <w:r w:rsidR="00A24CFA" w:rsidRPr="0003653F">
        <w:rPr>
          <w:rFonts w:cs="Arial"/>
          <w:szCs w:val="20"/>
        </w:rPr>
        <w:t>shall</w:t>
      </w:r>
      <w:r w:rsidRPr="0003653F">
        <w:rPr>
          <w:rFonts w:cs="Arial"/>
          <w:szCs w:val="20"/>
        </w:rPr>
        <w:t xml:space="preserve"> not prevent a determination being made. </w:t>
      </w:r>
      <w:r w:rsidRPr="0003653F">
        <w:rPr>
          <w:rFonts w:cs="Arial"/>
          <w:szCs w:val="20"/>
          <w:lang w:val="en-NZ"/>
        </w:rPr>
        <w:t xml:space="preserve"> </w:t>
      </w:r>
    </w:p>
    <w:p w14:paraId="1495C437" w14:textId="7CE1FCDC" w:rsidR="002D2CB4" w:rsidRPr="0003653F" w:rsidRDefault="00893B2F" w:rsidP="002D2CB4">
      <w:pPr>
        <w:pStyle w:val="BlockNumber"/>
        <w:ind w:left="1587" w:hanging="873"/>
        <w:rPr>
          <w:rFonts w:cs="Arial"/>
          <w:szCs w:val="20"/>
          <w:lang w:val="en-NZ"/>
        </w:rPr>
      </w:pPr>
      <w:r>
        <w:rPr>
          <w:rFonts w:cs="Arial"/>
          <w:szCs w:val="20"/>
          <w:lang w:val="en-NZ"/>
        </w:rPr>
        <w:t>Learner</w:t>
      </w:r>
      <w:r w:rsidR="002D2CB4" w:rsidRPr="0003653F">
        <w:rPr>
          <w:rFonts w:cs="Arial"/>
          <w:szCs w:val="20"/>
          <w:lang w:val="en-NZ"/>
        </w:rPr>
        <w:t>s shall be provided with a reasonable opportunity to respond to the allegation(s) at the meeting.</w:t>
      </w:r>
    </w:p>
    <w:p w14:paraId="5095387D" w14:textId="33B6CC7A" w:rsidR="00341A62" w:rsidRPr="0003653F" w:rsidRDefault="00341A62" w:rsidP="00341A62">
      <w:pPr>
        <w:pStyle w:val="BlockNumber"/>
        <w:ind w:left="1587" w:hanging="873"/>
        <w:rPr>
          <w:rFonts w:cs="Arial"/>
          <w:szCs w:val="20"/>
          <w:lang w:val="en-NZ"/>
        </w:rPr>
      </w:pPr>
      <w:r w:rsidRPr="0003653F">
        <w:rPr>
          <w:rFonts w:cs="Arial"/>
          <w:szCs w:val="20"/>
          <w:lang w:val="en-NZ"/>
        </w:rPr>
        <w:t xml:space="preserve">The investigator shall give due consideration to all the information presented and any explanations/comments from </w:t>
      </w:r>
      <w:r w:rsidR="00893B2F">
        <w:rPr>
          <w:rFonts w:cs="Arial"/>
          <w:szCs w:val="20"/>
          <w:lang w:val="en-NZ"/>
        </w:rPr>
        <w:t>learner</w:t>
      </w:r>
      <w:r w:rsidRPr="0003653F">
        <w:rPr>
          <w:rFonts w:cs="Arial"/>
          <w:szCs w:val="20"/>
          <w:lang w:val="en-NZ"/>
        </w:rPr>
        <w:t xml:space="preserve">s before any decision is made. </w:t>
      </w:r>
    </w:p>
    <w:p w14:paraId="07A4EA55" w14:textId="566E29A1" w:rsidR="00822A9F" w:rsidRPr="0003653F" w:rsidRDefault="00893B2F" w:rsidP="00341A62">
      <w:pPr>
        <w:pStyle w:val="BlockNumber"/>
        <w:ind w:left="1587" w:hanging="873"/>
        <w:rPr>
          <w:rFonts w:cs="Arial"/>
          <w:szCs w:val="20"/>
          <w:lang w:val="en-NZ"/>
        </w:rPr>
      </w:pPr>
      <w:r>
        <w:rPr>
          <w:rFonts w:cs="Arial"/>
          <w:szCs w:val="20"/>
          <w:lang w:val="en-NZ"/>
        </w:rPr>
        <w:t>Learner</w:t>
      </w:r>
      <w:r w:rsidR="00341A62" w:rsidRPr="0003653F">
        <w:rPr>
          <w:rFonts w:cs="Arial"/>
          <w:szCs w:val="20"/>
          <w:lang w:val="en-NZ"/>
        </w:rPr>
        <w:t>s shall be advised</w:t>
      </w:r>
      <w:r w:rsidR="008336CB" w:rsidRPr="0003653F">
        <w:rPr>
          <w:rFonts w:cs="Arial"/>
          <w:szCs w:val="20"/>
          <w:lang w:val="en-NZ"/>
        </w:rPr>
        <w:t xml:space="preserve"> in writing</w:t>
      </w:r>
      <w:r w:rsidR="008336CB" w:rsidRPr="0003653F">
        <w:rPr>
          <w:rStyle w:val="FootnoteReference"/>
          <w:rFonts w:cs="Arial"/>
          <w:szCs w:val="20"/>
          <w:lang w:val="en-NZ"/>
        </w:rPr>
        <w:footnoteReference w:id="8"/>
      </w:r>
      <w:r w:rsidR="008336CB" w:rsidRPr="0003653F">
        <w:rPr>
          <w:rFonts w:cs="Arial"/>
          <w:szCs w:val="20"/>
          <w:lang w:val="en-NZ"/>
        </w:rPr>
        <w:t xml:space="preserve"> </w:t>
      </w:r>
      <w:r w:rsidR="00341A62" w:rsidRPr="0003653F">
        <w:rPr>
          <w:rFonts w:cs="Arial"/>
          <w:szCs w:val="20"/>
          <w:lang w:val="en-NZ"/>
        </w:rPr>
        <w:t>of the outcome of the investigation</w:t>
      </w:r>
      <w:r w:rsidR="009F7C59" w:rsidRPr="0003653F">
        <w:rPr>
          <w:rFonts w:cs="Arial"/>
          <w:szCs w:val="20"/>
          <w:lang w:val="en-NZ"/>
        </w:rPr>
        <w:t xml:space="preserve"> </w:t>
      </w:r>
      <w:r w:rsidR="00822A9F" w:rsidRPr="0003653F">
        <w:rPr>
          <w:rFonts w:cs="Arial"/>
          <w:szCs w:val="20"/>
          <w:lang w:val="en-NZ"/>
        </w:rPr>
        <w:t xml:space="preserve">within eight </w:t>
      </w:r>
      <w:r w:rsidR="008336CB" w:rsidRPr="0003653F">
        <w:rPr>
          <w:rFonts w:cs="Arial"/>
          <w:szCs w:val="20"/>
          <w:lang w:val="en-NZ"/>
        </w:rPr>
        <w:t>working days</w:t>
      </w:r>
      <w:r w:rsidR="00313CEE" w:rsidRPr="0003653F">
        <w:rPr>
          <w:rStyle w:val="FootnoteReference"/>
          <w:rFonts w:cs="Arial"/>
          <w:szCs w:val="20"/>
          <w:lang w:val="en-NZ"/>
        </w:rPr>
        <w:footnoteReference w:id="9"/>
      </w:r>
      <w:r w:rsidR="008336CB" w:rsidRPr="0003653F">
        <w:rPr>
          <w:rFonts w:cs="Arial"/>
          <w:szCs w:val="20"/>
          <w:lang w:val="en-NZ"/>
        </w:rPr>
        <w:t xml:space="preserve"> </w:t>
      </w:r>
      <w:r w:rsidR="00822A9F" w:rsidRPr="0003653F">
        <w:rPr>
          <w:rFonts w:cs="Arial"/>
          <w:szCs w:val="20"/>
          <w:lang w:val="en-NZ"/>
        </w:rPr>
        <w:t>following the meeting</w:t>
      </w:r>
      <w:r w:rsidR="00341A62" w:rsidRPr="0003653F">
        <w:rPr>
          <w:rFonts w:cs="Arial"/>
          <w:szCs w:val="20"/>
          <w:lang w:val="en-NZ"/>
        </w:rPr>
        <w:t>, including</w:t>
      </w:r>
      <w:r w:rsidR="008336CB" w:rsidRPr="0003653F">
        <w:rPr>
          <w:rFonts w:cs="Arial"/>
          <w:szCs w:val="20"/>
          <w:lang w:val="en-NZ"/>
        </w:rPr>
        <w:t xml:space="preserve">, </w:t>
      </w:r>
      <w:r w:rsidR="002963B7" w:rsidRPr="0003653F">
        <w:rPr>
          <w:rFonts w:cs="Arial"/>
          <w:szCs w:val="20"/>
          <w:lang w:val="en-NZ"/>
        </w:rPr>
        <w:t>where misconduct has been proven</w:t>
      </w:r>
      <w:r w:rsidR="00822A9F" w:rsidRPr="0003653F">
        <w:rPr>
          <w:rFonts w:cs="Arial"/>
          <w:szCs w:val="20"/>
          <w:lang w:val="en-NZ"/>
        </w:rPr>
        <w:t>:</w:t>
      </w:r>
    </w:p>
    <w:p w14:paraId="5CBE66F7" w14:textId="77777777" w:rsidR="00822A9F" w:rsidRPr="0003653F" w:rsidRDefault="00822A9F" w:rsidP="00822A9F">
      <w:pPr>
        <w:pStyle w:val="Bullet1"/>
        <w:tabs>
          <w:tab w:val="clear" w:pos="1494"/>
        </w:tabs>
        <w:ind w:left="2127" w:hanging="426"/>
        <w:rPr>
          <w:rFonts w:cs="Arial"/>
          <w:lang w:val="en-NZ"/>
        </w:rPr>
      </w:pPr>
      <w:r w:rsidRPr="0003653F">
        <w:rPr>
          <w:rFonts w:cs="Arial"/>
          <w:lang w:val="en-NZ"/>
        </w:rPr>
        <w:t>A</w:t>
      </w:r>
      <w:r w:rsidR="00341A62" w:rsidRPr="0003653F">
        <w:rPr>
          <w:rFonts w:cs="Arial"/>
          <w:lang w:val="en-NZ"/>
        </w:rPr>
        <w:t xml:space="preserve">ny penalties imposed </w:t>
      </w:r>
      <w:r w:rsidR="008336CB" w:rsidRPr="0003653F">
        <w:rPr>
          <w:rFonts w:cs="Arial"/>
          <w:lang w:val="en-NZ"/>
        </w:rPr>
        <w:t xml:space="preserve">and </w:t>
      </w:r>
      <w:r w:rsidRPr="0003653F">
        <w:rPr>
          <w:rFonts w:cs="Arial"/>
          <w:lang w:val="en-NZ"/>
        </w:rPr>
        <w:t>appeal procedures; or</w:t>
      </w:r>
    </w:p>
    <w:p w14:paraId="0F80F264" w14:textId="77777777" w:rsidR="00822A9F" w:rsidRPr="0003653F" w:rsidRDefault="00822A9F" w:rsidP="00822A9F">
      <w:pPr>
        <w:pStyle w:val="Bullet1"/>
        <w:tabs>
          <w:tab w:val="clear" w:pos="1494"/>
        </w:tabs>
        <w:ind w:left="2127" w:hanging="426"/>
        <w:rPr>
          <w:rFonts w:cs="Arial"/>
        </w:rPr>
      </w:pPr>
      <w:r w:rsidRPr="0003653F">
        <w:rPr>
          <w:rFonts w:cs="Arial"/>
          <w:lang w:val="en-NZ"/>
        </w:rPr>
        <w:t>That</w:t>
      </w:r>
      <w:r w:rsidRPr="0003653F">
        <w:rPr>
          <w:rFonts w:cs="Arial"/>
        </w:rPr>
        <w:t xml:space="preserve"> a recommendation has been made to the Chief Executive</w:t>
      </w:r>
      <w:r w:rsidR="00CE1127" w:rsidRPr="0003653F">
        <w:rPr>
          <w:rFonts w:cs="Arial"/>
        </w:rPr>
        <w:t xml:space="preserve"> </w:t>
      </w:r>
      <w:r w:rsidRPr="0003653F">
        <w:rPr>
          <w:rFonts w:cs="Arial"/>
        </w:rPr>
        <w:t xml:space="preserve">for the imposition of a more serious penalty </w:t>
      </w:r>
      <w:r w:rsidR="00CE1127" w:rsidRPr="0003653F">
        <w:rPr>
          <w:rFonts w:cs="Arial"/>
        </w:rPr>
        <w:t>(see section 1</w:t>
      </w:r>
      <w:r w:rsidR="00572D46">
        <w:rPr>
          <w:rFonts w:cs="Arial"/>
        </w:rPr>
        <w:t>3</w:t>
      </w:r>
      <w:r w:rsidR="00CE1127" w:rsidRPr="0003653F">
        <w:rPr>
          <w:rFonts w:cs="Arial"/>
        </w:rPr>
        <w:t>.4.</w:t>
      </w:r>
      <w:r w:rsidR="00B1604A">
        <w:rPr>
          <w:rFonts w:cs="Arial"/>
        </w:rPr>
        <w:t>5</w:t>
      </w:r>
      <w:r w:rsidR="006C5F21">
        <w:rPr>
          <w:rFonts w:cs="Arial"/>
        </w:rPr>
        <w:t>-</w:t>
      </w:r>
      <w:r w:rsidR="00B1604A">
        <w:rPr>
          <w:rFonts w:cs="Arial"/>
        </w:rPr>
        <w:t>6</w:t>
      </w:r>
      <w:r w:rsidR="00CE1127" w:rsidRPr="0003653F">
        <w:rPr>
          <w:rFonts w:cs="Arial"/>
        </w:rPr>
        <w:t xml:space="preserve">) </w:t>
      </w:r>
      <w:r w:rsidRPr="0003653F">
        <w:rPr>
          <w:rFonts w:cs="Arial"/>
        </w:rPr>
        <w:t>and the nature of th</w:t>
      </w:r>
      <w:r w:rsidR="00CE1127" w:rsidRPr="0003653F">
        <w:rPr>
          <w:rFonts w:cs="Arial"/>
        </w:rPr>
        <w:t>at</w:t>
      </w:r>
      <w:r w:rsidRPr="0003653F">
        <w:rPr>
          <w:rFonts w:cs="Arial"/>
        </w:rPr>
        <w:t xml:space="preserve"> recommendation</w:t>
      </w:r>
      <w:r w:rsidR="00CE1127" w:rsidRPr="0003653F">
        <w:rPr>
          <w:rFonts w:cs="Arial"/>
        </w:rPr>
        <w:t>.</w:t>
      </w:r>
      <w:r w:rsidRPr="0003653F">
        <w:rPr>
          <w:rFonts w:cs="Arial"/>
        </w:rPr>
        <w:t xml:space="preserve"> </w:t>
      </w:r>
    </w:p>
    <w:p w14:paraId="60DFA5F1" w14:textId="3B78D5EC" w:rsidR="00341A62" w:rsidRPr="0003653F" w:rsidRDefault="00FC37A2" w:rsidP="00341A62">
      <w:pPr>
        <w:pStyle w:val="BlockNumber"/>
        <w:ind w:left="1587" w:hanging="873"/>
        <w:rPr>
          <w:rFonts w:cs="Arial"/>
          <w:szCs w:val="20"/>
          <w:lang w:val="en-NZ"/>
        </w:rPr>
      </w:pPr>
      <w:r w:rsidRPr="0003653F">
        <w:rPr>
          <w:rFonts w:cs="Arial"/>
          <w:szCs w:val="20"/>
          <w:lang w:val="en-NZ"/>
        </w:rPr>
        <w:t xml:space="preserve">Where </w:t>
      </w:r>
      <w:r w:rsidR="00893B2F">
        <w:rPr>
          <w:rFonts w:cs="Arial"/>
          <w:szCs w:val="20"/>
          <w:lang w:val="en-NZ"/>
        </w:rPr>
        <w:t>learner</w:t>
      </w:r>
      <w:r w:rsidR="00341A62" w:rsidRPr="0003653F">
        <w:rPr>
          <w:rFonts w:cs="Arial"/>
          <w:szCs w:val="20"/>
          <w:lang w:val="en-NZ"/>
        </w:rPr>
        <w:t xml:space="preserve">s fail to attend the meeting, the outcome of the investigation shall be forwarded to them in writing.  </w:t>
      </w:r>
    </w:p>
    <w:p w14:paraId="7EEDF08E" w14:textId="5440F53B" w:rsidR="00676D31" w:rsidRPr="0003653F" w:rsidRDefault="00341A62" w:rsidP="00676D31">
      <w:pPr>
        <w:pStyle w:val="BlockNumber"/>
        <w:ind w:left="1587" w:hanging="873"/>
        <w:rPr>
          <w:rFonts w:cs="Arial"/>
          <w:szCs w:val="20"/>
          <w:lang w:val="en-NZ"/>
        </w:rPr>
      </w:pPr>
      <w:r w:rsidRPr="0003653F">
        <w:rPr>
          <w:rFonts w:cs="Arial"/>
          <w:szCs w:val="20"/>
          <w:lang w:val="en-NZ"/>
        </w:rPr>
        <w:t xml:space="preserve">All written communication to </w:t>
      </w:r>
      <w:r w:rsidR="00893B2F">
        <w:rPr>
          <w:rFonts w:cs="Arial"/>
          <w:szCs w:val="20"/>
          <w:lang w:val="en-NZ"/>
        </w:rPr>
        <w:t>learner</w:t>
      </w:r>
      <w:r w:rsidRPr="0003653F">
        <w:rPr>
          <w:rFonts w:cs="Arial"/>
          <w:szCs w:val="20"/>
          <w:lang w:val="en-NZ"/>
        </w:rPr>
        <w:t>s shall be by</w:t>
      </w:r>
      <w:r w:rsidR="007A5209" w:rsidRPr="0003653F">
        <w:rPr>
          <w:rFonts w:cs="Arial"/>
          <w:szCs w:val="20"/>
          <w:lang w:val="en-NZ"/>
        </w:rPr>
        <w:t xml:space="preserve"> email to their </w:t>
      </w:r>
      <w:r w:rsidR="00893B2F">
        <w:rPr>
          <w:rFonts w:cs="Arial"/>
          <w:szCs w:val="20"/>
          <w:lang w:val="en-NZ"/>
        </w:rPr>
        <w:t>learner</w:t>
      </w:r>
      <w:r w:rsidR="007A5209" w:rsidRPr="0003653F">
        <w:rPr>
          <w:rFonts w:cs="Arial"/>
          <w:szCs w:val="20"/>
          <w:lang w:val="en-NZ"/>
        </w:rPr>
        <w:t xml:space="preserve"> email account </w:t>
      </w:r>
      <w:r w:rsidR="002D2CB4" w:rsidRPr="0003653F">
        <w:rPr>
          <w:rFonts w:cs="Arial"/>
          <w:szCs w:val="20"/>
          <w:lang w:val="en-NZ"/>
        </w:rPr>
        <w:t xml:space="preserve">as well as by </w:t>
      </w:r>
      <w:r w:rsidRPr="0003653F">
        <w:rPr>
          <w:rFonts w:cs="Arial"/>
          <w:szCs w:val="20"/>
          <w:lang w:val="en-NZ"/>
        </w:rPr>
        <w:t>courier post (to the last address</w:t>
      </w:r>
      <w:r w:rsidR="00676D31" w:rsidRPr="0003653F">
        <w:rPr>
          <w:rFonts w:cs="Arial"/>
          <w:szCs w:val="20"/>
          <w:lang w:val="en-NZ"/>
        </w:rPr>
        <w:t xml:space="preserve"> recorded on the </w:t>
      </w:r>
      <w:r w:rsidR="00893B2F">
        <w:rPr>
          <w:rFonts w:cs="Arial"/>
          <w:szCs w:val="20"/>
          <w:lang w:val="en-NZ"/>
        </w:rPr>
        <w:t>learner</w:t>
      </w:r>
      <w:r w:rsidR="00843AA8" w:rsidRPr="0003653F">
        <w:rPr>
          <w:rFonts w:cs="Arial"/>
          <w:szCs w:val="20"/>
          <w:lang w:val="en-NZ"/>
        </w:rPr>
        <w:t xml:space="preserve"> management system</w:t>
      </w:r>
      <w:r w:rsidRPr="0003653F">
        <w:rPr>
          <w:rFonts w:cs="Arial"/>
          <w:szCs w:val="20"/>
          <w:lang w:val="en-NZ"/>
        </w:rPr>
        <w:t xml:space="preserve">) or by hand to the </w:t>
      </w:r>
      <w:r w:rsidR="00893B2F">
        <w:rPr>
          <w:rFonts w:cs="Arial"/>
          <w:szCs w:val="20"/>
          <w:lang w:val="en-NZ"/>
        </w:rPr>
        <w:t>learner</w:t>
      </w:r>
      <w:r w:rsidRPr="0003653F">
        <w:rPr>
          <w:rFonts w:cs="Arial"/>
          <w:szCs w:val="20"/>
          <w:lang w:val="en-NZ"/>
        </w:rPr>
        <w:t xml:space="preserve"> concerned and receipt recorded.  </w:t>
      </w:r>
    </w:p>
    <w:p w14:paraId="093267E8" w14:textId="77777777" w:rsidR="00341A62" w:rsidRPr="00032FAF" w:rsidRDefault="00341A62" w:rsidP="005D227F">
      <w:pPr>
        <w:pStyle w:val="Heading2No"/>
        <w:ind w:left="426"/>
        <w:rPr>
          <w:rFonts w:cs="Arial"/>
          <w:szCs w:val="20"/>
          <w:lang w:val="en-NZ"/>
        </w:rPr>
      </w:pPr>
      <w:r w:rsidRPr="00032FAF">
        <w:rPr>
          <w:rFonts w:cs="Arial"/>
          <w:szCs w:val="20"/>
          <w:lang w:val="en-NZ"/>
        </w:rPr>
        <w:t xml:space="preserve">Penalties </w:t>
      </w:r>
    </w:p>
    <w:p w14:paraId="6DC8ED8B" w14:textId="363B2E48" w:rsidR="00341A62" w:rsidRDefault="00893B2F" w:rsidP="00341A62">
      <w:pPr>
        <w:pStyle w:val="BlockNumber"/>
        <w:ind w:left="1587" w:hanging="873"/>
        <w:rPr>
          <w:rFonts w:cs="Arial"/>
          <w:szCs w:val="20"/>
          <w:lang w:val="en-NZ"/>
        </w:rPr>
      </w:pPr>
      <w:r>
        <w:rPr>
          <w:rFonts w:cs="Arial"/>
          <w:szCs w:val="20"/>
          <w:lang w:val="en-NZ"/>
        </w:rPr>
        <w:t>ATNZ</w:t>
      </w:r>
      <w:r w:rsidR="00341A62" w:rsidRPr="0003653F">
        <w:rPr>
          <w:rFonts w:cs="Arial"/>
          <w:szCs w:val="20"/>
          <w:lang w:val="en-NZ"/>
        </w:rPr>
        <w:t xml:space="preserve"> shall impose penalties for proven </w:t>
      </w:r>
      <w:r w:rsidR="002D2CB4" w:rsidRPr="0003653F">
        <w:rPr>
          <w:rFonts w:cs="Arial"/>
          <w:szCs w:val="20"/>
          <w:lang w:val="en-NZ"/>
        </w:rPr>
        <w:t xml:space="preserve">incidents </w:t>
      </w:r>
      <w:r w:rsidR="00341A62" w:rsidRPr="0003653F">
        <w:rPr>
          <w:rFonts w:cs="Arial"/>
          <w:szCs w:val="20"/>
          <w:lang w:val="en-NZ"/>
        </w:rPr>
        <w:t xml:space="preserve">of misconduct in a consistent way, having </w:t>
      </w:r>
      <w:proofErr w:type="gramStart"/>
      <w:r w:rsidR="00341A62" w:rsidRPr="0003653F">
        <w:rPr>
          <w:rFonts w:cs="Arial"/>
          <w:szCs w:val="20"/>
          <w:lang w:val="en-NZ"/>
        </w:rPr>
        <w:t>taken into account</w:t>
      </w:r>
      <w:proofErr w:type="gramEnd"/>
      <w:r w:rsidR="00341A62" w:rsidRPr="0003653F">
        <w:rPr>
          <w:rFonts w:cs="Arial"/>
          <w:szCs w:val="20"/>
          <w:lang w:val="en-NZ"/>
        </w:rPr>
        <w:t xml:space="preserve"> all the circumstances of the individual incident.</w:t>
      </w:r>
    </w:p>
    <w:p w14:paraId="504DEB86" w14:textId="0B03ED59" w:rsidR="00BA7EA2" w:rsidRPr="0003653F" w:rsidRDefault="00893B2F" w:rsidP="00341A62">
      <w:pPr>
        <w:pStyle w:val="BlockNumber"/>
        <w:ind w:left="1587" w:hanging="873"/>
        <w:rPr>
          <w:rFonts w:cs="Arial"/>
          <w:szCs w:val="20"/>
          <w:lang w:val="en-NZ"/>
        </w:rPr>
      </w:pPr>
      <w:r>
        <w:rPr>
          <w:rFonts w:cs="Arial"/>
          <w:szCs w:val="20"/>
          <w:lang w:val="en-NZ"/>
        </w:rPr>
        <w:t>ATNZ</w:t>
      </w:r>
      <w:r w:rsidR="00BA7EA2">
        <w:rPr>
          <w:rFonts w:cs="Arial"/>
          <w:szCs w:val="20"/>
          <w:lang w:val="en-NZ"/>
        </w:rPr>
        <w:t xml:space="preserve"> shall apply penalties in a manner intended to support and encourage behavioural change except where there would be a direct adverse impact on the safety or a significant detriment to the experience of other </w:t>
      </w:r>
      <w:r>
        <w:rPr>
          <w:rFonts w:cs="Arial"/>
          <w:szCs w:val="20"/>
          <w:lang w:val="en-NZ"/>
        </w:rPr>
        <w:t>learner</w:t>
      </w:r>
      <w:r w:rsidR="00BA7EA2">
        <w:rPr>
          <w:rFonts w:cs="Arial"/>
          <w:szCs w:val="20"/>
          <w:lang w:val="en-NZ"/>
        </w:rPr>
        <w:t xml:space="preserve">s unless a more severe penalty was applied. This approach is predicated on more severe penalties being applied in situations of repeated misbehaviour or misconduct.  </w:t>
      </w:r>
    </w:p>
    <w:p w14:paraId="58516199" w14:textId="77777777" w:rsidR="00341A62" w:rsidRPr="0003653F" w:rsidRDefault="00341A62" w:rsidP="00341A62">
      <w:pPr>
        <w:pStyle w:val="BlockNumber"/>
        <w:spacing w:after="60"/>
        <w:ind w:left="1587" w:hanging="873"/>
        <w:rPr>
          <w:rFonts w:cs="Arial"/>
          <w:szCs w:val="20"/>
          <w:lang w:val="en-NZ"/>
        </w:rPr>
      </w:pPr>
      <w:r w:rsidRPr="0003653F">
        <w:rPr>
          <w:rFonts w:cs="Arial"/>
          <w:szCs w:val="20"/>
          <w:lang w:val="en-NZ"/>
        </w:rPr>
        <w:t xml:space="preserve">In </w:t>
      </w:r>
      <w:proofErr w:type="gramStart"/>
      <w:r w:rsidRPr="0003653F">
        <w:rPr>
          <w:rFonts w:cs="Arial"/>
          <w:szCs w:val="20"/>
          <w:lang w:val="en-NZ"/>
        </w:rPr>
        <w:t>making a decision</w:t>
      </w:r>
      <w:proofErr w:type="gramEnd"/>
      <w:r w:rsidRPr="0003653F">
        <w:rPr>
          <w:rFonts w:cs="Arial"/>
          <w:szCs w:val="20"/>
          <w:lang w:val="en-NZ"/>
        </w:rPr>
        <w:t xml:space="preserve"> on the imposition of a penalty in respect of any misconduct, decision makers shall have regard to:</w:t>
      </w:r>
    </w:p>
    <w:p w14:paraId="451A1654" w14:textId="77777777" w:rsidR="00341A62" w:rsidRPr="0003653F" w:rsidRDefault="00341A62" w:rsidP="00341A62">
      <w:pPr>
        <w:pStyle w:val="Bullet1"/>
        <w:tabs>
          <w:tab w:val="clear" w:pos="1494"/>
        </w:tabs>
        <w:ind w:left="2127" w:hanging="426"/>
        <w:rPr>
          <w:rFonts w:cs="Arial"/>
          <w:lang w:val="en-NZ"/>
        </w:rPr>
      </w:pPr>
      <w:r w:rsidRPr="0003653F">
        <w:rPr>
          <w:rFonts w:cs="Arial"/>
          <w:lang w:val="en-NZ"/>
        </w:rPr>
        <w:t xml:space="preserve">The seriousness of the </w:t>
      </w:r>
      <w:proofErr w:type="gramStart"/>
      <w:r w:rsidRPr="0003653F">
        <w:rPr>
          <w:rFonts w:cs="Arial"/>
          <w:lang w:val="en-NZ"/>
        </w:rPr>
        <w:t>misconduct;</w:t>
      </w:r>
      <w:proofErr w:type="gramEnd"/>
    </w:p>
    <w:p w14:paraId="14D77600" w14:textId="6F06C90C" w:rsidR="00341A62" w:rsidRPr="0003653F" w:rsidRDefault="00341A62" w:rsidP="00341A62">
      <w:pPr>
        <w:pStyle w:val="Bullet1"/>
        <w:tabs>
          <w:tab w:val="clear" w:pos="1494"/>
        </w:tabs>
        <w:ind w:left="2127" w:hanging="426"/>
        <w:rPr>
          <w:rFonts w:cs="Arial"/>
          <w:lang w:val="en-NZ"/>
        </w:rPr>
      </w:pPr>
      <w:r w:rsidRPr="0003653F">
        <w:rPr>
          <w:rFonts w:cs="Arial"/>
          <w:lang w:val="en-NZ"/>
        </w:rPr>
        <w:t xml:space="preserve">Previous </w:t>
      </w:r>
      <w:r w:rsidR="002D2CB4" w:rsidRPr="0003653F">
        <w:rPr>
          <w:rFonts w:cs="Arial"/>
          <w:lang w:val="en-NZ"/>
        </w:rPr>
        <w:t xml:space="preserve">incidents </w:t>
      </w:r>
      <w:r w:rsidRPr="0003653F">
        <w:rPr>
          <w:rFonts w:cs="Arial"/>
          <w:lang w:val="en-NZ"/>
        </w:rPr>
        <w:t xml:space="preserve">of </w:t>
      </w:r>
      <w:r w:rsidR="003A762E" w:rsidRPr="0003653F">
        <w:rPr>
          <w:rFonts w:cs="Arial"/>
          <w:lang w:val="en-NZ"/>
        </w:rPr>
        <w:t xml:space="preserve">proven </w:t>
      </w:r>
      <w:r w:rsidRPr="0003653F">
        <w:rPr>
          <w:rFonts w:cs="Arial"/>
          <w:lang w:val="en-NZ"/>
        </w:rPr>
        <w:t>misconduct</w:t>
      </w:r>
      <w:r w:rsidR="003A762E" w:rsidRPr="0003653F">
        <w:rPr>
          <w:rFonts w:cs="Arial"/>
          <w:lang w:val="en-NZ"/>
        </w:rPr>
        <w:t xml:space="preserve"> by the </w:t>
      </w:r>
      <w:proofErr w:type="gramStart"/>
      <w:r w:rsidR="00893B2F">
        <w:rPr>
          <w:rFonts w:cs="Arial"/>
          <w:lang w:val="en-NZ"/>
        </w:rPr>
        <w:t>learner</w:t>
      </w:r>
      <w:r w:rsidRPr="0003653F">
        <w:rPr>
          <w:rFonts w:cs="Arial"/>
          <w:lang w:val="en-NZ"/>
        </w:rPr>
        <w:t>;</w:t>
      </w:r>
      <w:proofErr w:type="gramEnd"/>
    </w:p>
    <w:p w14:paraId="28D69D8A" w14:textId="4749D5A5" w:rsidR="00341A62" w:rsidRPr="0003653F" w:rsidRDefault="00341A62" w:rsidP="00341A62">
      <w:pPr>
        <w:pStyle w:val="Bullet1"/>
        <w:tabs>
          <w:tab w:val="clear" w:pos="1494"/>
        </w:tabs>
        <w:ind w:left="2127" w:hanging="426"/>
        <w:rPr>
          <w:rFonts w:cs="Arial"/>
          <w:lang w:val="en-NZ"/>
        </w:rPr>
      </w:pPr>
      <w:r w:rsidRPr="0003653F">
        <w:rPr>
          <w:rFonts w:cs="Arial"/>
          <w:lang w:val="en-NZ"/>
        </w:rPr>
        <w:t xml:space="preserve">The best welfare and possible re-integration of the </w:t>
      </w:r>
      <w:r w:rsidR="00893B2F">
        <w:rPr>
          <w:rFonts w:cs="Arial"/>
          <w:lang w:val="en-NZ"/>
        </w:rPr>
        <w:t>learner</w:t>
      </w:r>
      <w:r w:rsidRPr="0003653F">
        <w:rPr>
          <w:rFonts w:cs="Arial"/>
          <w:lang w:val="en-NZ"/>
        </w:rPr>
        <w:t xml:space="preserve"> </w:t>
      </w:r>
      <w:proofErr w:type="gramStart"/>
      <w:r w:rsidRPr="0003653F">
        <w:rPr>
          <w:rFonts w:cs="Arial"/>
          <w:lang w:val="en-NZ"/>
        </w:rPr>
        <w:t>concerned;</w:t>
      </w:r>
      <w:proofErr w:type="gramEnd"/>
      <w:r w:rsidRPr="0003653F">
        <w:rPr>
          <w:rFonts w:cs="Arial"/>
          <w:lang w:val="en-NZ"/>
        </w:rPr>
        <w:t xml:space="preserve"> </w:t>
      </w:r>
    </w:p>
    <w:p w14:paraId="4C66922C" w14:textId="73B3D91E" w:rsidR="00341A62" w:rsidRPr="0003653F" w:rsidRDefault="00341A62" w:rsidP="00341A62">
      <w:pPr>
        <w:pStyle w:val="Bullet1"/>
        <w:tabs>
          <w:tab w:val="clear" w:pos="1494"/>
        </w:tabs>
        <w:ind w:left="2127" w:hanging="426"/>
        <w:rPr>
          <w:rFonts w:cs="Arial"/>
          <w:lang w:val="en-NZ"/>
        </w:rPr>
      </w:pPr>
      <w:r w:rsidRPr="0003653F">
        <w:rPr>
          <w:rFonts w:cs="Arial"/>
          <w:lang w:val="en-NZ"/>
        </w:rPr>
        <w:t xml:space="preserve">The wider implications of the behaviour and proposed penalty on other </w:t>
      </w:r>
      <w:r w:rsidR="00893B2F">
        <w:rPr>
          <w:rFonts w:cs="Arial"/>
          <w:lang w:val="en-NZ"/>
        </w:rPr>
        <w:t>learner</w:t>
      </w:r>
      <w:r w:rsidRPr="0003653F">
        <w:rPr>
          <w:rFonts w:cs="Arial"/>
          <w:lang w:val="en-NZ"/>
        </w:rPr>
        <w:t>s; and</w:t>
      </w:r>
    </w:p>
    <w:p w14:paraId="16027010" w14:textId="0C186494" w:rsidR="00341A62" w:rsidRPr="0003653F" w:rsidRDefault="00341A62" w:rsidP="00341A62">
      <w:pPr>
        <w:pStyle w:val="Bullet1"/>
        <w:tabs>
          <w:tab w:val="clear" w:pos="1494"/>
        </w:tabs>
        <w:ind w:left="2127" w:hanging="426"/>
        <w:rPr>
          <w:rFonts w:cs="Arial"/>
          <w:lang w:val="en-NZ"/>
        </w:rPr>
      </w:pPr>
      <w:r w:rsidRPr="0003653F">
        <w:rPr>
          <w:rFonts w:cs="Arial"/>
          <w:lang w:val="en-NZ"/>
        </w:rPr>
        <w:lastRenderedPageBreak/>
        <w:t xml:space="preserve">Any factors </w:t>
      </w:r>
      <w:r w:rsidR="001F38A1" w:rsidRPr="0003653F">
        <w:rPr>
          <w:rFonts w:cs="Arial"/>
          <w:lang w:val="en-NZ"/>
        </w:rPr>
        <w:t>m</w:t>
      </w:r>
      <w:r w:rsidR="00FC2C1D" w:rsidRPr="0003653F">
        <w:rPr>
          <w:rFonts w:cs="Arial"/>
          <w:lang w:val="en-NZ"/>
        </w:rPr>
        <w:t>itigating</w:t>
      </w:r>
      <w:r w:rsidRPr="0003653F">
        <w:rPr>
          <w:rFonts w:cs="Arial"/>
          <w:lang w:val="en-NZ"/>
        </w:rPr>
        <w:t xml:space="preserve"> the </w:t>
      </w:r>
      <w:r w:rsidR="00893B2F">
        <w:rPr>
          <w:rFonts w:cs="Arial"/>
          <w:lang w:val="en-NZ"/>
        </w:rPr>
        <w:t>learner</w:t>
      </w:r>
      <w:r w:rsidRPr="0003653F">
        <w:rPr>
          <w:rFonts w:cs="Arial"/>
          <w:lang w:val="en-NZ"/>
        </w:rPr>
        <w:t xml:space="preserve">’s actions such as </w:t>
      </w:r>
      <w:r w:rsidR="00843AA8" w:rsidRPr="0003653F">
        <w:rPr>
          <w:rFonts w:cs="Arial"/>
          <w:lang w:val="en-NZ"/>
        </w:rPr>
        <w:t xml:space="preserve">an </w:t>
      </w:r>
      <w:r w:rsidRPr="0003653F">
        <w:rPr>
          <w:rFonts w:cs="Arial"/>
          <w:lang w:val="en-NZ"/>
        </w:rPr>
        <w:t>expression of contrition, payment of full restitution, a willingness to seek medical treatment or other professional counselling.</w:t>
      </w:r>
    </w:p>
    <w:p w14:paraId="7691D3A0" w14:textId="68ED3D7E" w:rsidR="00953B24" w:rsidRDefault="00953B24" w:rsidP="00D942F7">
      <w:pPr>
        <w:pStyle w:val="BlockNumber"/>
        <w:spacing w:after="40"/>
        <w:ind w:left="1587" w:hanging="873"/>
        <w:rPr>
          <w:rFonts w:cs="Arial"/>
          <w:color w:val="000000"/>
          <w:szCs w:val="20"/>
          <w:lang w:val="en-NZ"/>
        </w:rPr>
      </w:pPr>
      <w:r>
        <w:rPr>
          <w:rFonts w:cs="Arial"/>
          <w:color w:val="000000"/>
          <w:szCs w:val="20"/>
          <w:lang w:val="en-NZ"/>
        </w:rPr>
        <w:t xml:space="preserve">Penalties that may be imposed by </w:t>
      </w:r>
      <w:r w:rsidR="00BB26BC">
        <w:rPr>
          <w:rFonts w:cs="Arial"/>
          <w:color w:val="000000"/>
          <w:szCs w:val="20"/>
          <w:lang w:val="en-NZ"/>
        </w:rPr>
        <w:t xml:space="preserve">a workplace supervisor or </w:t>
      </w:r>
      <w:r w:rsidR="00893B2F">
        <w:rPr>
          <w:rFonts w:cs="Arial"/>
          <w:color w:val="000000"/>
          <w:szCs w:val="20"/>
          <w:lang w:val="en-NZ"/>
        </w:rPr>
        <w:t>ATNZ</w:t>
      </w:r>
      <w:r>
        <w:rPr>
          <w:rFonts w:cs="Arial"/>
          <w:color w:val="000000"/>
          <w:szCs w:val="20"/>
          <w:lang w:val="en-NZ"/>
        </w:rPr>
        <w:t xml:space="preserve"> staff member who has observed an act of misbehaviour may include but are not limited to:</w:t>
      </w:r>
    </w:p>
    <w:p w14:paraId="33693607" w14:textId="77777777" w:rsidR="00953B24" w:rsidRDefault="00953B24" w:rsidP="00566D87">
      <w:pPr>
        <w:pStyle w:val="BlockNumber"/>
        <w:numPr>
          <w:ilvl w:val="0"/>
          <w:numId w:val="14"/>
        </w:numPr>
        <w:spacing w:before="120" w:after="40"/>
        <w:ind w:left="2127"/>
        <w:rPr>
          <w:rFonts w:cs="Arial"/>
          <w:color w:val="000000"/>
          <w:szCs w:val="20"/>
          <w:lang w:val="en-NZ"/>
        </w:rPr>
      </w:pPr>
      <w:r>
        <w:rPr>
          <w:rFonts w:cs="Arial"/>
          <w:color w:val="000000"/>
          <w:szCs w:val="20"/>
          <w:lang w:val="en-NZ"/>
        </w:rPr>
        <w:t xml:space="preserve">A requirement to provide an </w:t>
      </w:r>
      <w:proofErr w:type="gramStart"/>
      <w:r>
        <w:rPr>
          <w:rFonts w:cs="Arial"/>
          <w:color w:val="000000"/>
          <w:szCs w:val="20"/>
          <w:lang w:val="en-NZ"/>
        </w:rPr>
        <w:t>apology</w:t>
      </w:r>
      <w:r w:rsidR="00FE6B37">
        <w:rPr>
          <w:rFonts w:cs="Arial"/>
          <w:color w:val="000000"/>
          <w:szCs w:val="20"/>
          <w:lang w:val="en-NZ"/>
        </w:rPr>
        <w:t>;</w:t>
      </w:r>
      <w:proofErr w:type="gramEnd"/>
    </w:p>
    <w:p w14:paraId="5391B79A" w14:textId="15103C5C" w:rsidR="00341A62" w:rsidRPr="00953B24" w:rsidRDefault="00341A62" w:rsidP="00D942F7">
      <w:pPr>
        <w:pStyle w:val="BlockNumber"/>
        <w:spacing w:after="40"/>
        <w:ind w:left="1587" w:hanging="873"/>
        <w:rPr>
          <w:rFonts w:cs="Arial"/>
          <w:color w:val="000000"/>
          <w:szCs w:val="20"/>
          <w:lang w:val="en-NZ"/>
        </w:rPr>
      </w:pPr>
      <w:r w:rsidRPr="0003653F">
        <w:rPr>
          <w:rFonts w:cs="Arial"/>
          <w:szCs w:val="20"/>
          <w:lang w:val="en-NZ"/>
        </w:rPr>
        <w:t>Penalties that may be imposed by</w:t>
      </w:r>
      <w:r w:rsidR="008A6880" w:rsidRPr="0003653F">
        <w:rPr>
          <w:rFonts w:cs="Arial"/>
          <w:szCs w:val="20"/>
          <w:lang w:val="en-NZ"/>
        </w:rPr>
        <w:t xml:space="preserve"> the</w:t>
      </w:r>
      <w:r w:rsidRPr="0003653F">
        <w:rPr>
          <w:rFonts w:cs="Arial"/>
          <w:szCs w:val="20"/>
          <w:lang w:val="en-NZ"/>
        </w:rPr>
        <w:t xml:space="preserve"> </w:t>
      </w:r>
      <w:r w:rsidR="00BB26BC">
        <w:rPr>
          <w:rFonts w:cs="Arial"/>
          <w:szCs w:val="20"/>
          <w:lang w:val="en-NZ"/>
        </w:rPr>
        <w:t xml:space="preserve">PTE </w:t>
      </w:r>
      <w:r w:rsidR="001D4973">
        <w:rPr>
          <w:rFonts w:cs="Arial"/>
          <w:szCs w:val="20"/>
          <w:lang w:val="en-NZ"/>
        </w:rPr>
        <w:t>M</w:t>
      </w:r>
      <w:r w:rsidR="008A6880" w:rsidRPr="0003653F">
        <w:rPr>
          <w:rFonts w:cs="Arial"/>
          <w:szCs w:val="20"/>
          <w:lang w:val="en-NZ"/>
        </w:rPr>
        <w:t>anager</w:t>
      </w:r>
      <w:r w:rsidRPr="0003653F">
        <w:rPr>
          <w:rFonts w:cs="Arial"/>
          <w:szCs w:val="20"/>
          <w:lang w:val="en-NZ"/>
        </w:rPr>
        <w:t xml:space="preserve"> for misconduct </w:t>
      </w:r>
      <w:r w:rsidR="00953B24">
        <w:rPr>
          <w:rFonts w:cs="Arial"/>
          <w:szCs w:val="20"/>
          <w:lang w:val="en-NZ"/>
        </w:rPr>
        <w:t>may include but are not limited to</w:t>
      </w:r>
      <w:r w:rsidRPr="0003653F">
        <w:rPr>
          <w:rFonts w:cs="Arial"/>
          <w:szCs w:val="20"/>
          <w:lang w:val="en-NZ"/>
        </w:rPr>
        <w:t>:</w:t>
      </w:r>
    </w:p>
    <w:p w14:paraId="183D65CA" w14:textId="743F1E61" w:rsidR="00953B24" w:rsidRDefault="00953B24" w:rsidP="00953B24">
      <w:pPr>
        <w:pStyle w:val="Bullet1"/>
        <w:tabs>
          <w:tab w:val="clear" w:pos="1494"/>
        </w:tabs>
        <w:ind w:left="2127" w:hanging="426"/>
        <w:rPr>
          <w:rFonts w:cs="Arial"/>
          <w:lang w:val="en-NZ"/>
        </w:rPr>
      </w:pPr>
      <w:r w:rsidRPr="0003653F">
        <w:rPr>
          <w:rFonts w:cs="Arial"/>
          <w:lang w:val="en-NZ"/>
        </w:rPr>
        <w:t xml:space="preserve">A written reprimand and/or warning detailing further penalties to be applied if </w:t>
      </w:r>
      <w:r w:rsidR="00893B2F">
        <w:rPr>
          <w:rFonts w:cs="Arial"/>
          <w:lang w:val="en-NZ"/>
        </w:rPr>
        <w:t>learner</w:t>
      </w:r>
      <w:r w:rsidRPr="0003653F">
        <w:rPr>
          <w:rFonts w:cs="Arial"/>
          <w:lang w:val="en-NZ"/>
        </w:rPr>
        <w:t>s re-</w:t>
      </w:r>
      <w:proofErr w:type="gramStart"/>
      <w:r w:rsidRPr="0003653F">
        <w:rPr>
          <w:rFonts w:cs="Arial"/>
          <w:lang w:val="en-NZ"/>
        </w:rPr>
        <w:t>offend;</w:t>
      </w:r>
      <w:proofErr w:type="gramEnd"/>
      <w:r w:rsidRPr="0003653F">
        <w:rPr>
          <w:rFonts w:cs="Arial"/>
          <w:lang w:val="en-NZ"/>
        </w:rPr>
        <w:t xml:space="preserve"> </w:t>
      </w:r>
    </w:p>
    <w:p w14:paraId="0676BDDE" w14:textId="4B48B273" w:rsidR="00953B24" w:rsidRDefault="00953B24" w:rsidP="00953B24">
      <w:pPr>
        <w:pStyle w:val="Bullet1"/>
        <w:tabs>
          <w:tab w:val="clear" w:pos="1494"/>
        </w:tabs>
        <w:ind w:left="2127" w:hanging="426"/>
        <w:rPr>
          <w:rFonts w:cs="Arial"/>
          <w:lang w:val="en-NZ"/>
        </w:rPr>
      </w:pPr>
      <w:r>
        <w:rPr>
          <w:rFonts w:cs="Arial"/>
          <w:lang w:val="en-NZ"/>
        </w:rPr>
        <w:t xml:space="preserve">A requirement for the </w:t>
      </w:r>
      <w:r w:rsidR="00893B2F">
        <w:rPr>
          <w:rFonts w:cs="Arial"/>
          <w:lang w:val="en-NZ"/>
        </w:rPr>
        <w:t>learner</w:t>
      </w:r>
      <w:r>
        <w:rPr>
          <w:rFonts w:cs="Arial"/>
          <w:lang w:val="en-NZ"/>
        </w:rPr>
        <w:t xml:space="preserve"> to enter into and comply with a contract of good </w:t>
      </w:r>
      <w:proofErr w:type="gramStart"/>
      <w:r>
        <w:rPr>
          <w:rFonts w:cs="Arial"/>
          <w:lang w:val="en-NZ"/>
        </w:rPr>
        <w:t>behaviour;</w:t>
      </w:r>
      <w:proofErr w:type="gramEnd"/>
    </w:p>
    <w:p w14:paraId="0EFBC76B" w14:textId="2AE85C28" w:rsidR="00953B24" w:rsidRDefault="00953B24" w:rsidP="00953B24">
      <w:pPr>
        <w:pStyle w:val="Bullet1"/>
        <w:tabs>
          <w:tab w:val="clear" w:pos="1494"/>
        </w:tabs>
        <w:ind w:left="2127" w:hanging="426"/>
        <w:rPr>
          <w:rFonts w:cs="Arial"/>
          <w:lang w:val="en-NZ"/>
        </w:rPr>
      </w:pPr>
      <w:r>
        <w:rPr>
          <w:rFonts w:cs="Arial"/>
          <w:lang w:val="en-NZ"/>
        </w:rPr>
        <w:t xml:space="preserve">An act(s) of restitution to a victim of the </w:t>
      </w:r>
      <w:proofErr w:type="gramStart"/>
      <w:r>
        <w:rPr>
          <w:rFonts w:cs="Arial"/>
          <w:lang w:val="en-NZ"/>
        </w:rPr>
        <w:t>miscondu</w:t>
      </w:r>
      <w:r w:rsidR="00BA7EA2">
        <w:rPr>
          <w:rFonts w:cs="Arial"/>
          <w:lang w:val="en-NZ"/>
        </w:rPr>
        <w:t>ct;</w:t>
      </w:r>
      <w:proofErr w:type="gramEnd"/>
      <w:r>
        <w:rPr>
          <w:rFonts w:cs="Arial"/>
          <w:lang w:val="en-NZ"/>
        </w:rPr>
        <w:t xml:space="preserve"> </w:t>
      </w:r>
    </w:p>
    <w:p w14:paraId="50248DD8" w14:textId="77777777" w:rsidR="00953B24" w:rsidRPr="0003653F" w:rsidRDefault="00953B24" w:rsidP="00953B24">
      <w:pPr>
        <w:pStyle w:val="Bullet1"/>
        <w:tabs>
          <w:tab w:val="clear" w:pos="1494"/>
        </w:tabs>
        <w:ind w:left="2127" w:hanging="426"/>
        <w:rPr>
          <w:rFonts w:cs="Arial"/>
          <w:lang w:val="en-NZ"/>
        </w:rPr>
      </w:pPr>
      <w:r w:rsidRPr="0003653F">
        <w:rPr>
          <w:rFonts w:cs="Arial"/>
          <w:lang w:val="en-NZ"/>
        </w:rPr>
        <w:t xml:space="preserve">The imposition of such sum of money or action considered to be reasonable restitution for </w:t>
      </w:r>
      <w:r>
        <w:rPr>
          <w:rFonts w:cs="Arial"/>
          <w:lang w:val="en-NZ"/>
        </w:rPr>
        <w:t xml:space="preserve">any </w:t>
      </w:r>
      <w:r w:rsidRPr="0003653F">
        <w:rPr>
          <w:rFonts w:cs="Arial"/>
          <w:lang w:val="en-NZ"/>
        </w:rPr>
        <w:t xml:space="preserve">damage </w:t>
      </w:r>
      <w:proofErr w:type="gramStart"/>
      <w:r w:rsidRPr="0003653F">
        <w:rPr>
          <w:rFonts w:cs="Arial"/>
          <w:lang w:val="en-NZ"/>
        </w:rPr>
        <w:t>caused;</w:t>
      </w:r>
      <w:proofErr w:type="gramEnd"/>
    </w:p>
    <w:p w14:paraId="256287B7" w14:textId="77777777" w:rsidR="00953B24" w:rsidRPr="0003653F" w:rsidRDefault="00953B24" w:rsidP="00953B24">
      <w:pPr>
        <w:pStyle w:val="Bullet1"/>
        <w:tabs>
          <w:tab w:val="clear" w:pos="1494"/>
        </w:tabs>
        <w:ind w:left="2127" w:hanging="426"/>
        <w:rPr>
          <w:rFonts w:cs="Arial"/>
          <w:lang w:val="en-NZ"/>
        </w:rPr>
      </w:pPr>
      <w:r>
        <w:rPr>
          <w:rFonts w:cs="Arial"/>
          <w:lang w:val="en-NZ"/>
        </w:rPr>
        <w:t>A requirement to complete a designated p</w:t>
      </w:r>
      <w:r w:rsidRPr="0003653F">
        <w:rPr>
          <w:rFonts w:cs="Arial"/>
          <w:lang w:val="en-NZ"/>
        </w:rPr>
        <w:t>ersonal development activity (</w:t>
      </w:r>
      <w:proofErr w:type="gramStart"/>
      <w:r w:rsidRPr="0003653F">
        <w:rPr>
          <w:rFonts w:cs="Arial"/>
          <w:lang w:val="en-NZ"/>
        </w:rPr>
        <w:t>e.g.</w:t>
      </w:r>
      <w:proofErr w:type="gramEnd"/>
      <w:r w:rsidRPr="0003653F">
        <w:rPr>
          <w:rFonts w:cs="Arial"/>
          <w:lang w:val="en-NZ"/>
        </w:rPr>
        <w:t xml:space="preserve"> anger management course</w:t>
      </w:r>
      <w:r>
        <w:rPr>
          <w:rFonts w:cs="Arial"/>
          <w:lang w:val="en-NZ"/>
        </w:rPr>
        <w:t xml:space="preserve"> or Drug and Alcohol Counselling</w:t>
      </w:r>
      <w:r w:rsidRPr="0003653F">
        <w:rPr>
          <w:rFonts w:cs="Arial"/>
          <w:lang w:val="en-NZ"/>
        </w:rPr>
        <w:t>); and</w:t>
      </w:r>
    </w:p>
    <w:p w14:paraId="4FFD2EB4" w14:textId="77777777" w:rsidR="00953B24" w:rsidRPr="0003653F" w:rsidRDefault="00953B24" w:rsidP="00953B24">
      <w:pPr>
        <w:pStyle w:val="Bullet1"/>
        <w:tabs>
          <w:tab w:val="clear" w:pos="1494"/>
        </w:tabs>
        <w:spacing w:after="40"/>
        <w:ind w:left="2126" w:hanging="425"/>
        <w:rPr>
          <w:rFonts w:cs="Arial"/>
          <w:lang w:val="en-NZ"/>
        </w:rPr>
      </w:pPr>
      <w:r w:rsidRPr="0003653F">
        <w:rPr>
          <w:rFonts w:cs="Arial"/>
          <w:lang w:val="en-NZ"/>
        </w:rPr>
        <w:t>In the case of misconduct during assessment:</w:t>
      </w:r>
    </w:p>
    <w:p w14:paraId="3EF58436" w14:textId="77777777" w:rsidR="00953B24" w:rsidRPr="0003653F" w:rsidRDefault="00953B24" w:rsidP="00566D87">
      <w:pPr>
        <w:numPr>
          <w:ilvl w:val="0"/>
          <w:numId w:val="7"/>
        </w:numPr>
        <w:spacing w:before="40" w:after="40" w:line="288" w:lineRule="atLeast"/>
        <w:ind w:left="2551" w:right="238" w:hanging="425"/>
        <w:jc w:val="both"/>
        <w:rPr>
          <w:rFonts w:ascii="Arial" w:hAnsi="Arial" w:cs="Arial"/>
          <w:sz w:val="20"/>
          <w:szCs w:val="20"/>
        </w:rPr>
      </w:pPr>
      <w:r w:rsidRPr="0003653F">
        <w:rPr>
          <w:rFonts w:ascii="Arial" w:hAnsi="Arial" w:cs="Arial"/>
          <w:sz w:val="20"/>
          <w:szCs w:val="20"/>
        </w:rPr>
        <w:t xml:space="preserve">a mark of zero, or no pass for the </w:t>
      </w:r>
      <w:proofErr w:type="gramStart"/>
      <w:r w:rsidRPr="0003653F">
        <w:rPr>
          <w:rFonts w:ascii="Arial" w:hAnsi="Arial" w:cs="Arial"/>
          <w:sz w:val="20"/>
          <w:szCs w:val="20"/>
        </w:rPr>
        <w:t>assessment;</w:t>
      </w:r>
      <w:proofErr w:type="gramEnd"/>
    </w:p>
    <w:p w14:paraId="6BDDD6C5" w14:textId="77777777" w:rsidR="00953B24" w:rsidRPr="0003653F" w:rsidRDefault="00953B24" w:rsidP="00566D87">
      <w:pPr>
        <w:numPr>
          <w:ilvl w:val="0"/>
          <w:numId w:val="7"/>
        </w:numPr>
        <w:spacing w:before="60" w:after="40"/>
        <w:ind w:left="2551" w:hanging="425"/>
        <w:jc w:val="both"/>
        <w:rPr>
          <w:rFonts w:ascii="Arial" w:hAnsi="Arial" w:cs="Arial"/>
          <w:sz w:val="20"/>
          <w:szCs w:val="20"/>
        </w:rPr>
      </w:pPr>
      <w:r w:rsidRPr="0003653F">
        <w:rPr>
          <w:rFonts w:ascii="Arial" w:hAnsi="Arial" w:cs="Arial"/>
          <w:sz w:val="20"/>
          <w:szCs w:val="20"/>
        </w:rPr>
        <w:t>other reduced mark for the assessment; and</w:t>
      </w:r>
    </w:p>
    <w:p w14:paraId="38852486" w14:textId="77777777" w:rsidR="00953B24" w:rsidRPr="0003653F" w:rsidRDefault="00953B24" w:rsidP="00566D87">
      <w:pPr>
        <w:numPr>
          <w:ilvl w:val="0"/>
          <w:numId w:val="7"/>
        </w:numPr>
        <w:spacing w:before="60" w:after="60"/>
        <w:ind w:left="2552" w:hanging="425"/>
        <w:jc w:val="both"/>
        <w:rPr>
          <w:rFonts w:ascii="Arial" w:hAnsi="Arial" w:cs="Arial"/>
          <w:sz w:val="20"/>
          <w:szCs w:val="20"/>
        </w:rPr>
      </w:pPr>
      <w:r w:rsidRPr="0003653F">
        <w:rPr>
          <w:rFonts w:ascii="Arial" w:hAnsi="Arial" w:cs="Arial"/>
          <w:sz w:val="20"/>
          <w:szCs w:val="20"/>
        </w:rPr>
        <w:t xml:space="preserve">with competency-based assessment, a re-sit under controlled conditions may be possible upon payment of a fee. </w:t>
      </w:r>
    </w:p>
    <w:p w14:paraId="66D70451" w14:textId="77777777" w:rsidR="00953B24" w:rsidRDefault="00953B24" w:rsidP="00953B24">
      <w:pPr>
        <w:pStyle w:val="BlockNumber"/>
        <w:numPr>
          <w:ilvl w:val="0"/>
          <w:numId w:val="0"/>
        </w:numPr>
        <w:spacing w:before="60"/>
        <w:ind w:left="1800"/>
        <w:rPr>
          <w:rFonts w:cs="Arial"/>
          <w:b/>
          <w:szCs w:val="20"/>
          <w:lang w:val="en-NZ"/>
        </w:rPr>
      </w:pPr>
    </w:p>
    <w:p w14:paraId="61CD76E2" w14:textId="06858F75" w:rsidR="00953B24" w:rsidRDefault="00953B24" w:rsidP="00953B24">
      <w:pPr>
        <w:pStyle w:val="BlockNumber"/>
        <w:numPr>
          <w:ilvl w:val="0"/>
          <w:numId w:val="0"/>
        </w:numPr>
        <w:spacing w:before="60"/>
        <w:ind w:left="1800"/>
        <w:rPr>
          <w:rFonts w:cs="Arial"/>
          <w:szCs w:val="20"/>
          <w:lang w:val="en-NZ"/>
        </w:rPr>
      </w:pPr>
      <w:r w:rsidRPr="0003653F">
        <w:rPr>
          <w:rFonts w:cs="Arial"/>
          <w:b/>
          <w:szCs w:val="20"/>
          <w:lang w:val="en-NZ"/>
        </w:rPr>
        <w:t xml:space="preserve">Note: </w:t>
      </w:r>
      <w:r w:rsidRPr="0003653F">
        <w:rPr>
          <w:rFonts w:cs="Arial"/>
          <w:szCs w:val="20"/>
          <w:lang w:val="en-NZ"/>
        </w:rPr>
        <w:t>Where a more severe penalty</w:t>
      </w:r>
      <w:r>
        <w:rPr>
          <w:rFonts w:cs="Arial"/>
          <w:szCs w:val="20"/>
          <w:lang w:val="en-NZ"/>
        </w:rPr>
        <w:t xml:space="preserve"> than those outlined 1</w:t>
      </w:r>
      <w:r w:rsidR="0031103F">
        <w:rPr>
          <w:rFonts w:cs="Arial"/>
          <w:szCs w:val="20"/>
          <w:lang w:val="en-NZ"/>
        </w:rPr>
        <w:t>3</w:t>
      </w:r>
      <w:r>
        <w:rPr>
          <w:rFonts w:cs="Arial"/>
          <w:szCs w:val="20"/>
          <w:lang w:val="en-NZ"/>
        </w:rPr>
        <w:t>.4.</w:t>
      </w:r>
      <w:r w:rsidR="00BA7EA2">
        <w:rPr>
          <w:rFonts w:cs="Arial"/>
          <w:szCs w:val="20"/>
          <w:lang w:val="en-NZ"/>
        </w:rPr>
        <w:t>5</w:t>
      </w:r>
      <w:r w:rsidRPr="0003653F">
        <w:rPr>
          <w:rFonts w:cs="Arial"/>
          <w:szCs w:val="20"/>
          <w:lang w:val="en-NZ"/>
        </w:rPr>
        <w:t xml:space="preserve"> is recommended (including in the case of second and subsequent incidents of misconduct during assessment), the matter shall be referred to the Chief Executive for consideration (see section 1</w:t>
      </w:r>
      <w:r w:rsidR="00572D46">
        <w:rPr>
          <w:rFonts w:cs="Arial"/>
          <w:szCs w:val="20"/>
          <w:lang w:val="en-NZ"/>
        </w:rPr>
        <w:t>3</w:t>
      </w:r>
      <w:r w:rsidRPr="0003653F">
        <w:rPr>
          <w:rFonts w:cs="Arial"/>
          <w:szCs w:val="20"/>
          <w:lang w:val="en-NZ"/>
        </w:rPr>
        <w:t>.4.</w:t>
      </w:r>
      <w:r w:rsidR="00B1604A">
        <w:rPr>
          <w:rFonts w:cs="Arial"/>
          <w:szCs w:val="20"/>
          <w:lang w:val="en-NZ"/>
        </w:rPr>
        <w:t>6</w:t>
      </w:r>
      <w:r w:rsidRPr="0003653F">
        <w:rPr>
          <w:rFonts w:cs="Arial"/>
          <w:szCs w:val="20"/>
          <w:lang w:val="en-NZ"/>
        </w:rPr>
        <w:t xml:space="preserve">).  </w:t>
      </w:r>
    </w:p>
    <w:p w14:paraId="2256A5AD" w14:textId="77777777" w:rsidR="00685A86" w:rsidRPr="001116EB" w:rsidRDefault="001116EB" w:rsidP="00D942F7">
      <w:pPr>
        <w:pStyle w:val="BlockNumber"/>
        <w:spacing w:after="40"/>
        <w:ind w:left="1587" w:hanging="873"/>
        <w:rPr>
          <w:rFonts w:cs="Arial"/>
          <w:color w:val="000000"/>
          <w:szCs w:val="20"/>
          <w:lang w:val="en-NZ"/>
        </w:rPr>
      </w:pPr>
      <w:r w:rsidRPr="0003653F">
        <w:rPr>
          <w:rFonts w:cs="Arial"/>
          <w:szCs w:val="20"/>
          <w:lang w:val="en-NZ"/>
        </w:rPr>
        <w:t>Penalties</w:t>
      </w:r>
      <w:r w:rsidRPr="001116EB">
        <w:rPr>
          <w:rFonts w:cs="Arial"/>
          <w:szCs w:val="20"/>
          <w:lang w:val="en-NZ"/>
        </w:rPr>
        <w:t xml:space="preserve"> </w:t>
      </w:r>
      <w:r w:rsidRPr="0003653F">
        <w:rPr>
          <w:rFonts w:cs="Arial"/>
          <w:szCs w:val="20"/>
          <w:lang w:val="en-NZ"/>
        </w:rPr>
        <w:t>that may be imposed by the Chief</w:t>
      </w:r>
      <w:r w:rsidRPr="001116EB">
        <w:rPr>
          <w:rFonts w:cs="Arial"/>
          <w:szCs w:val="20"/>
          <w:lang w:val="en-NZ"/>
        </w:rPr>
        <w:t xml:space="preserve"> </w:t>
      </w:r>
      <w:r w:rsidRPr="0003653F">
        <w:rPr>
          <w:rFonts w:cs="Arial"/>
          <w:szCs w:val="20"/>
          <w:lang w:val="en-NZ"/>
        </w:rPr>
        <w:t>Executive for misconduct</w:t>
      </w:r>
      <w:r>
        <w:rPr>
          <w:rFonts w:cs="Arial"/>
          <w:szCs w:val="20"/>
          <w:lang w:val="en-NZ"/>
        </w:rPr>
        <w:t xml:space="preserve"> </w:t>
      </w:r>
      <w:r w:rsidR="00273B27">
        <w:rPr>
          <w:rFonts w:cs="Arial"/>
          <w:szCs w:val="20"/>
          <w:lang w:val="en-NZ"/>
        </w:rPr>
        <w:t>may include but are not limited to</w:t>
      </w:r>
      <w:r>
        <w:rPr>
          <w:rFonts w:cs="Arial"/>
          <w:szCs w:val="20"/>
          <w:lang w:val="en-NZ"/>
        </w:rPr>
        <w:t xml:space="preserve">: </w:t>
      </w:r>
      <w:r>
        <w:rPr>
          <w:rFonts w:cs="Arial"/>
          <w:szCs w:val="20"/>
          <w:lang w:val="en-NZ"/>
        </w:rPr>
        <w:br/>
      </w:r>
    </w:p>
    <w:p w14:paraId="711EB510" w14:textId="77777777" w:rsidR="00341A62" w:rsidRPr="0003653F" w:rsidRDefault="00341A62" w:rsidP="00D942F7">
      <w:pPr>
        <w:pStyle w:val="Bullet1"/>
        <w:tabs>
          <w:tab w:val="clear" w:pos="1494"/>
        </w:tabs>
        <w:spacing w:after="40"/>
        <w:ind w:left="2126" w:hanging="425"/>
        <w:rPr>
          <w:rFonts w:cs="Arial"/>
          <w:lang w:val="en-NZ"/>
        </w:rPr>
      </w:pPr>
      <w:r w:rsidRPr="0003653F">
        <w:rPr>
          <w:rFonts w:cs="Arial"/>
          <w:lang w:val="en-NZ"/>
        </w:rPr>
        <w:t xml:space="preserve">Any of the penalties outlined in </w:t>
      </w:r>
      <w:r w:rsidR="00D30C72" w:rsidRPr="0003653F">
        <w:rPr>
          <w:rFonts w:cs="Arial"/>
          <w:lang w:val="en-NZ"/>
        </w:rPr>
        <w:t xml:space="preserve">section </w:t>
      </w:r>
      <w:proofErr w:type="gramStart"/>
      <w:r w:rsidRPr="0003653F">
        <w:rPr>
          <w:rFonts w:cs="Arial"/>
          <w:lang w:val="en-NZ"/>
        </w:rPr>
        <w:t>1</w:t>
      </w:r>
      <w:r w:rsidR="00572D46">
        <w:rPr>
          <w:rFonts w:cs="Arial"/>
          <w:lang w:val="en-NZ"/>
        </w:rPr>
        <w:t>3</w:t>
      </w:r>
      <w:r w:rsidRPr="0003653F">
        <w:rPr>
          <w:rFonts w:cs="Arial"/>
          <w:lang w:val="en-NZ"/>
        </w:rPr>
        <w:t>.4.</w:t>
      </w:r>
      <w:r w:rsidR="00B1604A">
        <w:rPr>
          <w:rFonts w:cs="Arial"/>
          <w:lang w:val="en-NZ"/>
        </w:rPr>
        <w:t>5</w:t>
      </w:r>
      <w:r w:rsidRPr="0003653F">
        <w:rPr>
          <w:rFonts w:cs="Arial"/>
          <w:lang w:val="en-NZ"/>
        </w:rPr>
        <w:t>;</w:t>
      </w:r>
      <w:proofErr w:type="gramEnd"/>
    </w:p>
    <w:p w14:paraId="42151123" w14:textId="56086EDD" w:rsidR="00341A62" w:rsidRPr="0003653F" w:rsidRDefault="00341A62" w:rsidP="00D942F7">
      <w:pPr>
        <w:pStyle w:val="Bullet1"/>
        <w:tabs>
          <w:tab w:val="clear" w:pos="1494"/>
        </w:tabs>
        <w:spacing w:after="40"/>
        <w:ind w:left="2126" w:hanging="425"/>
        <w:rPr>
          <w:rFonts w:cs="Arial"/>
          <w:lang w:val="en-NZ"/>
        </w:rPr>
      </w:pPr>
      <w:r w:rsidRPr="0003653F">
        <w:rPr>
          <w:rFonts w:cs="Arial"/>
          <w:lang w:val="en-NZ"/>
        </w:rPr>
        <w:t xml:space="preserve">Suspension </w:t>
      </w:r>
      <w:r w:rsidR="00D30C72" w:rsidRPr="0003653F">
        <w:rPr>
          <w:rFonts w:cs="Arial"/>
          <w:lang w:val="en-NZ"/>
        </w:rPr>
        <w:t>f</w:t>
      </w:r>
      <w:r w:rsidRPr="0003653F">
        <w:rPr>
          <w:rFonts w:cs="Arial"/>
          <w:lang w:val="en-NZ"/>
        </w:rPr>
        <w:t xml:space="preserve">rom attendance at </w:t>
      </w:r>
      <w:r w:rsidR="00893B2F">
        <w:rPr>
          <w:rFonts w:cs="Arial"/>
          <w:lang w:val="en-NZ"/>
        </w:rPr>
        <w:t>ATNZ</w:t>
      </w:r>
      <w:r w:rsidRPr="0003653F">
        <w:rPr>
          <w:rFonts w:cs="Arial"/>
          <w:lang w:val="en-NZ"/>
        </w:rPr>
        <w:t xml:space="preserve"> or any of its classes for such period as the</w:t>
      </w:r>
      <w:r w:rsidR="00A25338" w:rsidRPr="0003653F">
        <w:rPr>
          <w:rFonts w:cs="Arial"/>
          <w:lang w:val="en-NZ"/>
        </w:rPr>
        <w:t xml:space="preserve"> </w:t>
      </w:r>
      <w:r w:rsidRPr="0003653F">
        <w:rPr>
          <w:rFonts w:cs="Arial"/>
          <w:lang w:val="en-NZ"/>
        </w:rPr>
        <w:t xml:space="preserve">Chief Executive thinks </w:t>
      </w:r>
      <w:proofErr w:type="gramStart"/>
      <w:r w:rsidRPr="0003653F">
        <w:rPr>
          <w:rFonts w:cs="Arial"/>
          <w:lang w:val="en-NZ"/>
        </w:rPr>
        <w:t>fit;</w:t>
      </w:r>
      <w:proofErr w:type="gramEnd"/>
      <w:r w:rsidRPr="0003653F">
        <w:rPr>
          <w:rFonts w:cs="Arial"/>
          <w:lang w:val="en-NZ"/>
        </w:rPr>
        <w:t xml:space="preserve"> </w:t>
      </w:r>
    </w:p>
    <w:p w14:paraId="3D3F3BF7" w14:textId="77777777" w:rsidR="00A96521" w:rsidRPr="0003653F" w:rsidRDefault="00A96521" w:rsidP="00A96521">
      <w:pPr>
        <w:pStyle w:val="Bullet1"/>
        <w:tabs>
          <w:tab w:val="clear" w:pos="1494"/>
        </w:tabs>
        <w:ind w:left="2127" w:hanging="426"/>
        <w:rPr>
          <w:rFonts w:cs="Arial"/>
          <w:lang w:val="en-NZ"/>
        </w:rPr>
      </w:pPr>
      <w:r w:rsidRPr="0003653F">
        <w:rPr>
          <w:rFonts w:cs="Arial"/>
          <w:lang w:val="en-NZ"/>
        </w:rPr>
        <w:t>Cancellation of the enrolment (exclusion</w:t>
      </w:r>
      <w:proofErr w:type="gramStart"/>
      <w:r w:rsidRPr="0003653F">
        <w:rPr>
          <w:rFonts w:cs="Arial"/>
          <w:lang w:val="en-NZ"/>
        </w:rPr>
        <w:t>);</w:t>
      </w:r>
      <w:proofErr w:type="gramEnd"/>
    </w:p>
    <w:p w14:paraId="3DEC3AD0" w14:textId="77777777" w:rsidR="00341A62" w:rsidRPr="0003653F" w:rsidRDefault="00341A62" w:rsidP="00D942F7">
      <w:pPr>
        <w:pStyle w:val="Bullet1"/>
        <w:tabs>
          <w:tab w:val="clear" w:pos="1494"/>
        </w:tabs>
        <w:spacing w:after="40"/>
        <w:ind w:left="2126" w:hanging="425"/>
        <w:rPr>
          <w:rFonts w:cs="Arial"/>
          <w:lang w:val="en-NZ"/>
        </w:rPr>
      </w:pPr>
      <w:r w:rsidRPr="0003653F">
        <w:rPr>
          <w:rFonts w:cs="Arial"/>
          <w:lang w:val="en-NZ"/>
        </w:rPr>
        <w:t xml:space="preserve">Refusal </w:t>
      </w:r>
      <w:r w:rsidR="00D30C72" w:rsidRPr="0003653F">
        <w:rPr>
          <w:rFonts w:cs="Arial"/>
          <w:lang w:val="en-NZ"/>
        </w:rPr>
        <w:t xml:space="preserve">of </w:t>
      </w:r>
      <w:r w:rsidRPr="0003653F">
        <w:rPr>
          <w:rFonts w:cs="Arial"/>
          <w:lang w:val="en-NZ"/>
        </w:rPr>
        <w:t>enrol</w:t>
      </w:r>
      <w:r w:rsidR="00D30C72" w:rsidRPr="0003653F">
        <w:rPr>
          <w:rFonts w:cs="Arial"/>
          <w:lang w:val="en-NZ"/>
        </w:rPr>
        <w:t>ment</w:t>
      </w:r>
      <w:r w:rsidRPr="0003653F">
        <w:rPr>
          <w:rFonts w:cs="Arial"/>
          <w:lang w:val="en-NZ"/>
        </w:rPr>
        <w:t xml:space="preserve"> </w:t>
      </w:r>
      <w:r w:rsidR="007E019D" w:rsidRPr="0003653F">
        <w:rPr>
          <w:rFonts w:cs="Arial"/>
          <w:lang w:val="en-NZ"/>
        </w:rPr>
        <w:t xml:space="preserve">(exclusion) </w:t>
      </w:r>
      <w:r w:rsidRPr="0003653F">
        <w:rPr>
          <w:rFonts w:cs="Arial"/>
          <w:lang w:val="en-NZ"/>
        </w:rPr>
        <w:t>for such period as the Chief Executive thinks fit</w:t>
      </w:r>
      <w:r w:rsidR="007E019D" w:rsidRPr="0003653F">
        <w:rPr>
          <w:rFonts w:cs="Arial"/>
          <w:lang w:val="en-NZ"/>
        </w:rPr>
        <w:t xml:space="preserve"> (including permanently)</w:t>
      </w:r>
      <w:r w:rsidRPr="0003653F">
        <w:rPr>
          <w:rFonts w:cs="Arial"/>
          <w:lang w:val="en-NZ"/>
        </w:rPr>
        <w:t xml:space="preserve">; </w:t>
      </w:r>
      <w:r w:rsidR="000338A6" w:rsidRPr="0003653F">
        <w:rPr>
          <w:rFonts w:cs="Arial"/>
          <w:lang w:val="en-NZ"/>
        </w:rPr>
        <w:t>and</w:t>
      </w:r>
    </w:p>
    <w:p w14:paraId="2A990D5D" w14:textId="02A7F6D3" w:rsidR="00341A62" w:rsidRDefault="00B547B4" w:rsidP="00341A62">
      <w:pPr>
        <w:pStyle w:val="Bullet1"/>
        <w:tabs>
          <w:tab w:val="clear" w:pos="1494"/>
        </w:tabs>
        <w:ind w:left="2127" w:hanging="426"/>
        <w:rPr>
          <w:rFonts w:cs="Arial"/>
          <w:lang w:val="en-NZ"/>
        </w:rPr>
      </w:pPr>
      <w:r w:rsidRPr="0003653F">
        <w:rPr>
          <w:rFonts w:cs="Arial"/>
          <w:lang w:val="en-NZ"/>
        </w:rPr>
        <w:t>Refus</w:t>
      </w:r>
      <w:r w:rsidR="00EE03F5" w:rsidRPr="0003653F">
        <w:rPr>
          <w:rFonts w:cs="Arial"/>
          <w:lang w:val="en-NZ"/>
        </w:rPr>
        <w:t>al</w:t>
      </w:r>
      <w:r w:rsidRPr="0003653F">
        <w:rPr>
          <w:rFonts w:cs="Arial"/>
          <w:lang w:val="en-NZ"/>
        </w:rPr>
        <w:t xml:space="preserve"> to grant</w:t>
      </w:r>
      <w:r w:rsidR="000338A6" w:rsidRPr="0003653F">
        <w:rPr>
          <w:rFonts w:cs="Arial"/>
          <w:lang w:val="en-NZ"/>
        </w:rPr>
        <w:t>,</w:t>
      </w:r>
      <w:r w:rsidRPr="0003653F">
        <w:rPr>
          <w:rFonts w:cs="Arial"/>
          <w:lang w:val="en-NZ"/>
        </w:rPr>
        <w:t xml:space="preserve"> or</w:t>
      </w:r>
      <w:r w:rsidR="00BA5EB5" w:rsidRPr="0003653F">
        <w:rPr>
          <w:rFonts w:cs="Arial"/>
          <w:lang w:val="en-NZ"/>
        </w:rPr>
        <w:t xml:space="preserve"> </w:t>
      </w:r>
      <w:r w:rsidR="00EE03F5" w:rsidRPr="0003653F">
        <w:rPr>
          <w:rFonts w:cs="Arial"/>
          <w:lang w:val="en-NZ"/>
        </w:rPr>
        <w:t xml:space="preserve">revocation of </w:t>
      </w:r>
      <w:r w:rsidRPr="0003653F">
        <w:rPr>
          <w:rFonts w:cs="Arial"/>
          <w:lang w:val="en-NZ"/>
        </w:rPr>
        <w:t>an award</w:t>
      </w:r>
      <w:r w:rsidR="00BA5EB5" w:rsidRPr="0003653F">
        <w:rPr>
          <w:rFonts w:cs="Arial"/>
          <w:lang w:val="en-NZ"/>
        </w:rPr>
        <w:t xml:space="preserve"> already granted</w:t>
      </w:r>
      <w:r w:rsidR="000338A6" w:rsidRPr="0003653F">
        <w:rPr>
          <w:rFonts w:cs="Arial"/>
          <w:lang w:val="en-NZ"/>
        </w:rPr>
        <w:t>,</w:t>
      </w:r>
      <w:r w:rsidR="00EE03F5" w:rsidRPr="0003653F">
        <w:rPr>
          <w:rFonts w:cs="Arial"/>
          <w:lang w:val="en-NZ"/>
        </w:rPr>
        <w:t xml:space="preserve"> </w:t>
      </w:r>
      <w:r w:rsidR="00EE03F5" w:rsidRPr="0003653F">
        <w:rPr>
          <w:rFonts w:cs="Arial"/>
        </w:rPr>
        <w:t xml:space="preserve">if satisfied that a </w:t>
      </w:r>
      <w:r w:rsidR="00893B2F">
        <w:rPr>
          <w:rFonts w:cs="Arial"/>
        </w:rPr>
        <w:t>learner</w:t>
      </w:r>
      <w:r w:rsidR="00EE03F5" w:rsidRPr="0003653F">
        <w:rPr>
          <w:rFonts w:cs="Arial"/>
        </w:rPr>
        <w:t xml:space="preserve"> has made any untrue or misleading statement or is guilty of any breach of regulations or dishonest practice in relation to the award</w:t>
      </w:r>
      <w:r w:rsidR="00EE03F5" w:rsidRPr="0003653F">
        <w:rPr>
          <w:rFonts w:cs="Arial"/>
          <w:lang w:val="en-NZ"/>
        </w:rPr>
        <w:t xml:space="preserve"> (see section 1</w:t>
      </w:r>
      <w:r w:rsidR="009A2248">
        <w:rPr>
          <w:rFonts w:cs="Arial"/>
          <w:lang w:val="en-NZ"/>
        </w:rPr>
        <w:t>6</w:t>
      </w:r>
      <w:r w:rsidR="00EE03F5" w:rsidRPr="0003653F">
        <w:rPr>
          <w:rFonts w:cs="Arial"/>
          <w:lang w:val="en-NZ"/>
        </w:rPr>
        <w:t>.1</w:t>
      </w:r>
      <w:r w:rsidR="0055042F" w:rsidRPr="0003653F">
        <w:rPr>
          <w:rFonts w:cs="Arial"/>
          <w:lang w:val="en-NZ"/>
        </w:rPr>
        <w:t>.6</w:t>
      </w:r>
      <w:r w:rsidR="00EE03F5" w:rsidRPr="0003653F">
        <w:rPr>
          <w:rFonts w:cs="Arial"/>
          <w:lang w:val="en-NZ"/>
        </w:rPr>
        <w:t>: Entitlement to awards)</w:t>
      </w:r>
      <w:r w:rsidRPr="0003653F">
        <w:rPr>
          <w:rFonts w:cs="Arial"/>
          <w:lang w:val="en-NZ"/>
        </w:rPr>
        <w:t>.</w:t>
      </w:r>
    </w:p>
    <w:p w14:paraId="4CA26D6B" w14:textId="77777777" w:rsidR="001116EB" w:rsidRPr="0003653F" w:rsidRDefault="001116EB" w:rsidP="001116EB">
      <w:pPr>
        <w:pStyle w:val="BlockNumber"/>
        <w:ind w:left="1560" w:hanging="851"/>
      </w:pPr>
      <w:r>
        <w:t>All incidents of proven misconduct in assessment will be reported to the Academic Committee and noted in Academic Committee meeting papers.</w:t>
      </w:r>
    </w:p>
    <w:p w14:paraId="0E4C8A66" w14:textId="77777777" w:rsidR="001116EB" w:rsidRPr="0003653F" w:rsidRDefault="001116EB" w:rsidP="001116EB">
      <w:pPr>
        <w:pStyle w:val="Bullet1"/>
        <w:numPr>
          <w:ilvl w:val="0"/>
          <w:numId w:val="0"/>
        </w:numPr>
        <w:ind w:left="2127"/>
        <w:rPr>
          <w:rFonts w:cs="Arial"/>
          <w:lang w:val="en-NZ"/>
        </w:rPr>
      </w:pPr>
    </w:p>
    <w:p w14:paraId="29662D71" w14:textId="77777777" w:rsidR="00341A62" w:rsidRPr="00032FAF" w:rsidRDefault="00341A62" w:rsidP="000D2405">
      <w:pPr>
        <w:pStyle w:val="Heading2No"/>
        <w:tabs>
          <w:tab w:val="clear" w:pos="680"/>
        </w:tabs>
        <w:ind w:left="0"/>
        <w:rPr>
          <w:rFonts w:cs="Arial"/>
          <w:szCs w:val="20"/>
          <w:lang w:val="en-NZ"/>
        </w:rPr>
      </w:pPr>
      <w:bookmarkStart w:id="57" w:name="_Ref220578629"/>
      <w:bookmarkStart w:id="58" w:name="_Ref221099049"/>
      <w:r w:rsidRPr="00032FAF">
        <w:rPr>
          <w:rFonts w:cs="Arial"/>
          <w:szCs w:val="20"/>
          <w:lang w:val="en-NZ"/>
        </w:rPr>
        <w:t>Appeal</w:t>
      </w:r>
      <w:bookmarkEnd w:id="57"/>
      <w:r w:rsidRPr="00032FAF">
        <w:rPr>
          <w:rFonts w:cs="Arial"/>
          <w:szCs w:val="20"/>
          <w:lang w:val="en-NZ"/>
        </w:rPr>
        <w:t xml:space="preserve"> of misconduct decisions</w:t>
      </w:r>
      <w:bookmarkEnd w:id="58"/>
    </w:p>
    <w:p w14:paraId="4FEA1F57" w14:textId="573AF2F4" w:rsidR="00341A62" w:rsidRPr="0003653F" w:rsidRDefault="00893B2F" w:rsidP="00341A62">
      <w:pPr>
        <w:pStyle w:val="BlockNumber"/>
        <w:ind w:left="1587" w:hanging="873"/>
        <w:rPr>
          <w:rFonts w:cs="Arial"/>
          <w:szCs w:val="20"/>
          <w:lang w:val="en-NZ"/>
        </w:rPr>
      </w:pPr>
      <w:r>
        <w:rPr>
          <w:rFonts w:cs="Arial"/>
          <w:szCs w:val="20"/>
          <w:lang w:val="en-NZ"/>
        </w:rPr>
        <w:t>Learner</w:t>
      </w:r>
      <w:r w:rsidR="00341A62" w:rsidRPr="0003653F">
        <w:rPr>
          <w:rFonts w:cs="Arial"/>
          <w:szCs w:val="20"/>
          <w:lang w:val="en-NZ"/>
        </w:rPr>
        <w:t xml:space="preserve">s who have been disciplined by </w:t>
      </w:r>
      <w:r>
        <w:rPr>
          <w:rFonts w:cs="Arial"/>
          <w:szCs w:val="20"/>
          <w:lang w:val="en-NZ"/>
        </w:rPr>
        <w:t>ATNZ</w:t>
      </w:r>
      <w:r w:rsidR="00341A62" w:rsidRPr="0003653F">
        <w:rPr>
          <w:rFonts w:cs="Arial"/>
          <w:szCs w:val="20"/>
          <w:lang w:val="en-NZ"/>
        </w:rPr>
        <w:t xml:space="preserve"> for misconduct and believe </w:t>
      </w:r>
      <w:r w:rsidR="000763FC">
        <w:rPr>
          <w:rFonts w:cs="Arial"/>
          <w:szCs w:val="20"/>
          <w:lang w:val="en-NZ"/>
        </w:rPr>
        <w:t xml:space="preserve">that </w:t>
      </w:r>
      <w:r w:rsidR="00341A62" w:rsidRPr="0003653F">
        <w:rPr>
          <w:rFonts w:cs="Arial"/>
          <w:szCs w:val="20"/>
          <w:lang w:val="en-NZ"/>
        </w:rPr>
        <w:t>they have been unjustly treated may appeal the decision</w:t>
      </w:r>
      <w:r w:rsidR="00613231">
        <w:rPr>
          <w:rFonts w:cs="Arial"/>
          <w:szCs w:val="20"/>
          <w:lang w:val="en-NZ"/>
        </w:rPr>
        <w:t xml:space="preserve"> under the provisions of Section 2</w:t>
      </w:r>
      <w:r w:rsidR="00AB70F2">
        <w:rPr>
          <w:rFonts w:cs="Arial"/>
          <w:szCs w:val="20"/>
          <w:lang w:val="en-NZ"/>
        </w:rPr>
        <w:t>0</w:t>
      </w:r>
      <w:r w:rsidR="00341A62" w:rsidRPr="0003653F">
        <w:rPr>
          <w:rFonts w:cs="Arial"/>
          <w:szCs w:val="20"/>
          <w:lang w:val="en-NZ"/>
        </w:rPr>
        <w:t xml:space="preserve">. </w:t>
      </w:r>
    </w:p>
    <w:p w14:paraId="63C13DE5" w14:textId="77777777" w:rsidR="00341A62" w:rsidRPr="0003653F" w:rsidRDefault="00341A62" w:rsidP="00341A62">
      <w:pPr>
        <w:pStyle w:val="BlockNumber"/>
        <w:spacing w:after="40"/>
        <w:ind w:left="1587" w:hanging="873"/>
        <w:rPr>
          <w:rFonts w:cs="Arial"/>
          <w:szCs w:val="20"/>
          <w:lang w:val="en-NZ"/>
        </w:rPr>
      </w:pPr>
      <w:r w:rsidRPr="0003653F">
        <w:rPr>
          <w:rFonts w:cs="Arial"/>
          <w:szCs w:val="20"/>
          <w:lang w:val="en-NZ"/>
        </w:rPr>
        <w:lastRenderedPageBreak/>
        <w:t>Grounds for appeal include, but are not l</w:t>
      </w:r>
      <w:r w:rsidR="008A6880" w:rsidRPr="0003653F">
        <w:rPr>
          <w:rFonts w:cs="Arial"/>
          <w:szCs w:val="20"/>
          <w:lang w:val="en-NZ"/>
        </w:rPr>
        <w:t>imited</w:t>
      </w:r>
      <w:r w:rsidRPr="0003653F">
        <w:rPr>
          <w:rFonts w:cs="Arial"/>
          <w:szCs w:val="20"/>
          <w:lang w:val="en-NZ"/>
        </w:rPr>
        <w:t xml:space="preserve"> to:</w:t>
      </w:r>
    </w:p>
    <w:p w14:paraId="07706C9C" w14:textId="77777777" w:rsidR="00341A62" w:rsidRPr="0003653F" w:rsidRDefault="00341A62" w:rsidP="00566D87">
      <w:pPr>
        <w:pStyle w:val="TableBullet1"/>
        <w:numPr>
          <w:ilvl w:val="0"/>
          <w:numId w:val="15"/>
        </w:numPr>
        <w:ind w:left="2127" w:hanging="284"/>
      </w:pPr>
      <w:r w:rsidRPr="0003653F">
        <w:t xml:space="preserve">The procedures used for investigating or resolving the misconduct were </w:t>
      </w:r>
      <w:proofErr w:type="gramStart"/>
      <w:r w:rsidRPr="0003653F">
        <w:t>unfair;</w:t>
      </w:r>
      <w:proofErr w:type="gramEnd"/>
    </w:p>
    <w:p w14:paraId="7F035E28" w14:textId="77777777" w:rsidR="00341A62" w:rsidRPr="0003653F" w:rsidRDefault="00341A62" w:rsidP="00566D87">
      <w:pPr>
        <w:pStyle w:val="TableBullet1"/>
        <w:numPr>
          <w:ilvl w:val="0"/>
          <w:numId w:val="15"/>
        </w:numPr>
        <w:ind w:left="2127" w:hanging="284"/>
      </w:pPr>
      <w:r w:rsidRPr="0003653F">
        <w:t xml:space="preserve">That new evidence has become </w:t>
      </w:r>
      <w:proofErr w:type="gramStart"/>
      <w:r w:rsidRPr="0003653F">
        <w:t>available;</w:t>
      </w:r>
      <w:proofErr w:type="gramEnd"/>
      <w:r w:rsidRPr="0003653F">
        <w:t xml:space="preserve"> </w:t>
      </w:r>
    </w:p>
    <w:p w14:paraId="3F401B4B" w14:textId="77777777" w:rsidR="00341A62" w:rsidRPr="0003653F" w:rsidRDefault="00341A62" w:rsidP="00566D87">
      <w:pPr>
        <w:pStyle w:val="TableBullet1"/>
        <w:numPr>
          <w:ilvl w:val="0"/>
          <w:numId w:val="15"/>
        </w:numPr>
        <w:ind w:left="2127" w:hanging="284"/>
      </w:pPr>
      <w:r w:rsidRPr="0003653F">
        <w:t xml:space="preserve">That all relevant factors were not </w:t>
      </w:r>
      <w:proofErr w:type="gramStart"/>
      <w:r w:rsidRPr="0003653F">
        <w:t>taken into account</w:t>
      </w:r>
      <w:proofErr w:type="gramEnd"/>
      <w:r w:rsidRPr="0003653F">
        <w:t>; and</w:t>
      </w:r>
    </w:p>
    <w:p w14:paraId="1963E257" w14:textId="77777777" w:rsidR="00341A62" w:rsidRPr="0003653F" w:rsidRDefault="00341A62" w:rsidP="00566D87">
      <w:pPr>
        <w:pStyle w:val="TableBullet1"/>
        <w:numPr>
          <w:ilvl w:val="0"/>
          <w:numId w:val="15"/>
        </w:numPr>
        <w:ind w:left="2127" w:hanging="284"/>
      </w:pPr>
      <w:r w:rsidRPr="0003653F">
        <w:t>The penalty imposed was out of proportion to the nature of the misconduct and the circumstances of the case.</w:t>
      </w:r>
    </w:p>
    <w:p w14:paraId="27EEF222" w14:textId="77777777" w:rsidR="00341A62" w:rsidRPr="00032FAF" w:rsidRDefault="00341A62" w:rsidP="000D2405">
      <w:pPr>
        <w:pStyle w:val="Heading2No"/>
        <w:spacing w:before="320"/>
        <w:ind w:left="142"/>
        <w:rPr>
          <w:rFonts w:cs="Arial"/>
          <w:szCs w:val="20"/>
          <w:lang w:val="en-NZ"/>
        </w:rPr>
      </w:pPr>
      <w:r w:rsidRPr="00032FAF">
        <w:rPr>
          <w:rFonts w:cs="Arial"/>
          <w:szCs w:val="20"/>
          <w:lang w:val="en-NZ"/>
        </w:rPr>
        <w:t>Records</w:t>
      </w:r>
    </w:p>
    <w:p w14:paraId="14CBC39E" w14:textId="62665DED" w:rsidR="00591D23" w:rsidRPr="0003653F" w:rsidRDefault="00341A62" w:rsidP="00F61239">
      <w:pPr>
        <w:pStyle w:val="BlockNumber"/>
        <w:spacing w:after="60"/>
        <w:ind w:left="1587" w:hanging="873"/>
        <w:rPr>
          <w:rFonts w:cs="Arial"/>
          <w:szCs w:val="20"/>
          <w:lang w:val="en-NZ"/>
        </w:rPr>
      </w:pPr>
      <w:r w:rsidRPr="0003653F">
        <w:rPr>
          <w:rFonts w:cs="Arial"/>
          <w:szCs w:val="20"/>
          <w:lang w:val="en-NZ"/>
        </w:rPr>
        <w:t xml:space="preserve">Where </w:t>
      </w:r>
      <w:r w:rsidR="00893B2F">
        <w:rPr>
          <w:rFonts w:cs="Arial"/>
          <w:szCs w:val="20"/>
          <w:lang w:val="en-NZ"/>
        </w:rPr>
        <w:t>learner</w:t>
      </w:r>
      <w:r w:rsidRPr="0003653F">
        <w:rPr>
          <w:rFonts w:cs="Arial"/>
          <w:szCs w:val="20"/>
          <w:lang w:val="en-NZ"/>
        </w:rPr>
        <w:t xml:space="preserve">s are found to have </w:t>
      </w:r>
      <w:r w:rsidR="009374CB" w:rsidRPr="0003653F">
        <w:rPr>
          <w:rFonts w:cs="Arial"/>
          <w:szCs w:val="20"/>
          <w:lang w:val="en-NZ"/>
        </w:rPr>
        <w:t>committed</w:t>
      </w:r>
      <w:r w:rsidRPr="0003653F">
        <w:rPr>
          <w:rFonts w:cs="Arial"/>
          <w:szCs w:val="20"/>
          <w:lang w:val="en-NZ"/>
        </w:rPr>
        <w:t xml:space="preserve"> misconduct, this decision including any penalties imposed shall be kept on their record</w:t>
      </w:r>
      <w:r w:rsidR="00F61239" w:rsidRPr="0003653F">
        <w:rPr>
          <w:rFonts w:cs="Arial"/>
          <w:szCs w:val="20"/>
          <w:lang w:val="en-NZ"/>
        </w:rPr>
        <w:t>.</w:t>
      </w:r>
    </w:p>
    <w:p w14:paraId="681C3FE4" w14:textId="77777777" w:rsidR="00341A62" w:rsidRPr="0003653F" w:rsidRDefault="00FC37A2" w:rsidP="002906F0">
      <w:pPr>
        <w:pStyle w:val="BlockNumber"/>
        <w:spacing w:after="60"/>
        <w:ind w:left="1587" w:hanging="873"/>
        <w:rPr>
          <w:rFonts w:cs="Arial"/>
          <w:szCs w:val="20"/>
          <w:lang w:val="en-NZ"/>
        </w:rPr>
      </w:pPr>
      <w:r w:rsidRPr="0003653F">
        <w:rPr>
          <w:rFonts w:cs="Arial"/>
          <w:szCs w:val="20"/>
          <w:lang w:val="en-NZ"/>
        </w:rPr>
        <w:t>Where</w:t>
      </w:r>
      <w:r w:rsidR="00341A62" w:rsidRPr="0003653F">
        <w:rPr>
          <w:rFonts w:cs="Arial"/>
          <w:szCs w:val="20"/>
          <w:lang w:val="en-NZ"/>
        </w:rPr>
        <w:t xml:space="preserve"> an allegation</w:t>
      </w:r>
      <w:r w:rsidR="002906F0" w:rsidRPr="0003653F">
        <w:rPr>
          <w:rFonts w:cs="Arial"/>
          <w:szCs w:val="20"/>
          <w:lang w:val="en-NZ"/>
        </w:rPr>
        <w:t xml:space="preserve"> of misconduct</w:t>
      </w:r>
      <w:r w:rsidR="00341A62" w:rsidRPr="0003653F">
        <w:rPr>
          <w:rFonts w:cs="Arial"/>
          <w:szCs w:val="20"/>
          <w:lang w:val="en-NZ"/>
        </w:rPr>
        <w:t xml:space="preserve"> is not proven or a decision is overturned on appeal, no record </w:t>
      </w:r>
      <w:r w:rsidR="00A24CFA" w:rsidRPr="0003653F">
        <w:rPr>
          <w:rFonts w:cs="Arial"/>
          <w:szCs w:val="20"/>
          <w:lang w:val="en-NZ"/>
        </w:rPr>
        <w:t>shall</w:t>
      </w:r>
      <w:r w:rsidR="00341A62" w:rsidRPr="0003653F">
        <w:rPr>
          <w:rFonts w:cs="Arial"/>
          <w:szCs w:val="20"/>
          <w:lang w:val="en-NZ"/>
        </w:rPr>
        <w:t xml:space="preserve"> be kept.</w:t>
      </w:r>
    </w:p>
    <w:p w14:paraId="1ECBF036" w14:textId="77777777" w:rsidR="00341A62" w:rsidRPr="0003653F" w:rsidRDefault="00341A62" w:rsidP="00341A62">
      <w:pPr>
        <w:rPr>
          <w:rFonts w:ascii="Arial" w:hAnsi="Arial" w:cs="Arial"/>
          <w:sz w:val="20"/>
          <w:szCs w:val="20"/>
        </w:rPr>
      </w:pPr>
    </w:p>
    <w:p w14:paraId="10CB0E0E" w14:textId="2EC8F6D5" w:rsidR="008C1F9E" w:rsidRDefault="008C1F9E">
      <w:pPr>
        <w:rPr>
          <w:rFonts w:ascii="Arial" w:eastAsia="Times New Roman" w:hAnsi="Arial" w:cs="Arial"/>
          <w:b/>
          <w:color w:val="A6242E"/>
          <w:sz w:val="20"/>
          <w:szCs w:val="20"/>
          <w:lang w:eastAsia="en-US"/>
        </w:rPr>
      </w:pPr>
    </w:p>
    <w:p w14:paraId="6EB21D39" w14:textId="77777777" w:rsidR="00135052" w:rsidRPr="0003653F" w:rsidRDefault="00135052">
      <w:pPr>
        <w:rPr>
          <w:rFonts w:ascii="Arial" w:eastAsia="Times New Roman" w:hAnsi="Arial" w:cs="Arial"/>
          <w:b/>
          <w:color w:val="A6242E"/>
          <w:sz w:val="20"/>
          <w:szCs w:val="20"/>
          <w:lang w:eastAsia="en-US"/>
        </w:rPr>
      </w:pPr>
    </w:p>
    <w:p w14:paraId="58E6D8AC" w14:textId="77777777" w:rsidR="00AB7BA9" w:rsidRDefault="00AB7BA9" w:rsidP="00712756">
      <w:pPr>
        <w:pStyle w:val="Heading1No"/>
        <w:ind w:left="567" w:hanging="567"/>
        <w:rPr>
          <w:lang w:val="en-NZ"/>
        </w:rPr>
      </w:pPr>
      <w:bookmarkStart w:id="59" w:name="_Toc105753607"/>
      <w:bookmarkStart w:id="60" w:name="_Toc352741625"/>
      <w:bookmarkStart w:id="61" w:name="_Toc352763812"/>
      <w:r w:rsidRPr="004337B2">
        <w:t>Privacy</w:t>
      </w:r>
      <w:bookmarkEnd w:id="59"/>
    </w:p>
    <w:p w14:paraId="2B13110F" w14:textId="63CA3EBE" w:rsidR="000C781E" w:rsidRDefault="00893B2F" w:rsidP="002A4A98">
      <w:pPr>
        <w:pStyle w:val="BlockNumber"/>
        <w:ind w:left="1560"/>
      </w:pPr>
      <w:r>
        <w:t>ATNZ</w:t>
      </w:r>
      <w:r w:rsidR="004375D1">
        <w:t xml:space="preserve"> will comply with the Privac</w:t>
      </w:r>
      <w:r w:rsidR="000763FC">
        <w:t>y</w:t>
      </w:r>
      <w:r w:rsidR="004375D1">
        <w:t xml:space="preserve"> Act</w:t>
      </w:r>
      <w:r w:rsidR="003E620A">
        <w:t xml:space="preserve"> </w:t>
      </w:r>
      <w:r w:rsidR="00927195">
        <w:t>2020</w:t>
      </w:r>
      <w:r w:rsidR="000C781E">
        <w:t xml:space="preserve"> in terms of requesting, storing, providing access to, </w:t>
      </w:r>
      <w:proofErr w:type="gramStart"/>
      <w:r w:rsidR="000C781E">
        <w:t>sharing</w:t>
      </w:r>
      <w:proofErr w:type="gramEnd"/>
      <w:r w:rsidR="000C781E">
        <w:t xml:space="preserve"> and retaining private data</w:t>
      </w:r>
      <w:r w:rsidR="003E620A">
        <w:t>.</w:t>
      </w:r>
      <w:r w:rsidR="00D65257">
        <w:t xml:space="preserve"> </w:t>
      </w:r>
      <w:r w:rsidR="000C781E">
        <w:t xml:space="preserve">More information will be found in the </w:t>
      </w:r>
      <w:r>
        <w:t>ATNZ</w:t>
      </w:r>
      <w:r w:rsidR="001770B0">
        <w:t xml:space="preserve"> </w:t>
      </w:r>
      <w:r w:rsidR="000C781E">
        <w:t>Privacy Policy</w:t>
      </w:r>
    </w:p>
    <w:p w14:paraId="1582265F" w14:textId="664CF90A" w:rsidR="000C781E" w:rsidRDefault="00893B2F" w:rsidP="001770B0">
      <w:pPr>
        <w:pStyle w:val="BlockNumber"/>
        <w:ind w:left="1560"/>
      </w:pPr>
      <w:r>
        <w:t>ATNZ</w:t>
      </w:r>
      <w:r w:rsidR="000C781E">
        <w:t xml:space="preserve"> is required to provide some private information to government agencies and will comply with these requirements. You are required to consent to this sharing during your enrolment process and this is a condition of enrolment at </w:t>
      </w:r>
      <w:r>
        <w:t>ATNZ</w:t>
      </w:r>
      <w:r w:rsidR="000C781E">
        <w:t>.</w:t>
      </w:r>
    </w:p>
    <w:p w14:paraId="31FAEE64" w14:textId="7981BB06" w:rsidR="00927195" w:rsidRDefault="00927195" w:rsidP="001770B0">
      <w:pPr>
        <w:pStyle w:val="BlockNumber"/>
        <w:ind w:left="1560"/>
      </w:pPr>
      <w:r>
        <w:t>Work-based learners are required to provide consent for ATNZ to share private information related to achievement, progress and your wellbeing with your employer or host company. This is a condition of enrolment under a tripartite Training Agreement</w:t>
      </w:r>
      <w:r w:rsidR="000763FC">
        <w:t xml:space="preserve"> for work</w:t>
      </w:r>
      <w:r w:rsidR="0041660C">
        <w:t>-</w:t>
      </w:r>
      <w:r w:rsidR="000763FC">
        <w:t>based learners</w:t>
      </w:r>
      <w:r>
        <w:t xml:space="preserve">.   </w:t>
      </w:r>
    </w:p>
    <w:p w14:paraId="3D06CDA6" w14:textId="1CA86FB6" w:rsidR="00D65257" w:rsidRDefault="00893B2F" w:rsidP="001770B0">
      <w:pPr>
        <w:pStyle w:val="BlockNumber"/>
        <w:ind w:left="1560"/>
      </w:pPr>
      <w:r>
        <w:t>ATNZ</w:t>
      </w:r>
      <w:r w:rsidR="001770B0">
        <w:t xml:space="preserve"> </w:t>
      </w:r>
      <w:r w:rsidR="00D65257">
        <w:t>will also contact the emergency contact provided by you during enrolment in any event where we believe that such contact is necessary in your interests.</w:t>
      </w:r>
    </w:p>
    <w:p w14:paraId="490C298D" w14:textId="48D5E531" w:rsidR="000C781E" w:rsidRDefault="00893B2F" w:rsidP="001770B0">
      <w:pPr>
        <w:pStyle w:val="BlockNumber"/>
        <w:ind w:left="1560"/>
      </w:pPr>
      <w:r>
        <w:t>ATNZ</w:t>
      </w:r>
      <w:r w:rsidR="000C781E">
        <w:t xml:space="preserve"> will not otherwise share your private information, including your records, </w:t>
      </w:r>
      <w:proofErr w:type="gramStart"/>
      <w:r w:rsidR="000C781E">
        <w:t>progress</w:t>
      </w:r>
      <w:proofErr w:type="gramEnd"/>
      <w:r w:rsidR="000C781E">
        <w:t xml:space="preserve"> or attendance without your consent</w:t>
      </w:r>
      <w:r w:rsidR="00D65257">
        <w:t>, except in extenuating circumstances where we believe that it is essential to contact an emergency contact, parent, caregiver or partner in circumstances where there are significant concerns regarding your wellbeing.</w:t>
      </w:r>
    </w:p>
    <w:p w14:paraId="72A2F4AA" w14:textId="210D4ED1" w:rsidR="001770B0" w:rsidRDefault="00927195" w:rsidP="001770B0">
      <w:pPr>
        <w:pStyle w:val="BlockNumber"/>
        <w:ind w:left="1560"/>
      </w:pPr>
      <w:r>
        <w:t>Except as specified in Section</w:t>
      </w:r>
      <w:r w:rsidR="00241449">
        <w:t>s</w:t>
      </w:r>
      <w:r>
        <w:t xml:space="preserve"> 1</w:t>
      </w:r>
      <w:r w:rsidR="00AC25A6">
        <w:t>4</w:t>
      </w:r>
      <w:r>
        <w:t>.1.3</w:t>
      </w:r>
      <w:r w:rsidR="00241449">
        <w:t xml:space="preserve"> -.4</w:t>
      </w:r>
      <w:r>
        <w:t>, y</w:t>
      </w:r>
      <w:r w:rsidR="000C781E">
        <w:t xml:space="preserve">ou must advise </w:t>
      </w:r>
      <w:r w:rsidR="00893B2F">
        <w:t>ATNZ</w:t>
      </w:r>
      <w:r w:rsidR="000C781E">
        <w:t xml:space="preserve"> and provide written consent if you wish </w:t>
      </w:r>
      <w:r w:rsidR="00893B2F">
        <w:t>ATNZ</w:t>
      </w:r>
      <w:r w:rsidR="000C781E">
        <w:t xml:space="preserve"> to provide private information to parents/caregivers, employers, </w:t>
      </w:r>
      <w:proofErr w:type="gramStart"/>
      <w:r w:rsidR="000C781E">
        <w:t>sponsors</w:t>
      </w:r>
      <w:proofErr w:type="gramEnd"/>
      <w:r w:rsidR="000C781E">
        <w:t xml:space="preserve"> or any other party. </w:t>
      </w:r>
    </w:p>
    <w:p w14:paraId="709113EB" w14:textId="5072C6D4" w:rsidR="000C781E" w:rsidRDefault="00893B2F" w:rsidP="001770B0">
      <w:pPr>
        <w:pStyle w:val="BlockNumber"/>
        <w:ind w:left="1560"/>
      </w:pPr>
      <w:r>
        <w:t>ATNZ</w:t>
      </w:r>
      <w:r w:rsidR="000C781E">
        <w:t xml:space="preserve"> believe</w:t>
      </w:r>
      <w:r w:rsidR="001770B0">
        <w:t>s</w:t>
      </w:r>
      <w:r w:rsidR="000C781E">
        <w:t xml:space="preserve"> that</w:t>
      </w:r>
      <w:r w:rsidR="001770B0">
        <w:t xml:space="preserve"> the involvement of parents/caregivers is particularly important and beneficial for younger tertiary </w:t>
      </w:r>
      <w:r>
        <w:t>learner</w:t>
      </w:r>
      <w:r w:rsidR="001770B0">
        <w:t xml:space="preserve">s. All </w:t>
      </w:r>
      <w:r>
        <w:t>learner</w:t>
      </w:r>
      <w:r w:rsidR="001770B0">
        <w:t xml:space="preserve">s aged under 18 years of age will be encouraged to provide a general consent at the commencement of enrolment under which </w:t>
      </w:r>
      <w:r>
        <w:t>ATNZ</w:t>
      </w:r>
      <w:r w:rsidR="001770B0">
        <w:t xml:space="preserve"> may discuss </w:t>
      </w:r>
      <w:proofErr w:type="gramStart"/>
      <w:r w:rsidR="001770B0">
        <w:t>particular concerns</w:t>
      </w:r>
      <w:proofErr w:type="gramEnd"/>
      <w:r w:rsidR="001770B0">
        <w:t xml:space="preserve"> we may have regarding wellbeing, behavior or academic progress. </w:t>
      </w:r>
      <w:r>
        <w:t>ATNZ</w:t>
      </w:r>
      <w:r w:rsidR="001770B0">
        <w:t xml:space="preserve"> will confirm this consent with you on any occasion that we believe that it would be beneficial for us to discuss you with your parents/caregivers.</w:t>
      </w:r>
    </w:p>
    <w:p w14:paraId="08B60973" w14:textId="169568F8" w:rsidR="00D65257" w:rsidRDefault="00D65257" w:rsidP="00D65257">
      <w:pPr>
        <w:pStyle w:val="BlockNumber"/>
        <w:numPr>
          <w:ilvl w:val="0"/>
          <w:numId w:val="0"/>
        </w:numPr>
        <w:ind w:left="1560"/>
      </w:pPr>
    </w:p>
    <w:p w14:paraId="7CE8AFAE" w14:textId="05A8B241" w:rsidR="00AC25A6" w:rsidRDefault="00AC25A6" w:rsidP="00D65257">
      <w:pPr>
        <w:pStyle w:val="BlockNumber"/>
        <w:numPr>
          <w:ilvl w:val="0"/>
          <w:numId w:val="0"/>
        </w:numPr>
        <w:ind w:left="1560"/>
      </w:pPr>
    </w:p>
    <w:p w14:paraId="33CB2DD2" w14:textId="77777777" w:rsidR="00AC25A6" w:rsidRDefault="00AC25A6" w:rsidP="00D65257">
      <w:pPr>
        <w:pStyle w:val="BlockNumber"/>
        <w:numPr>
          <w:ilvl w:val="0"/>
          <w:numId w:val="0"/>
        </w:numPr>
        <w:ind w:left="1560"/>
      </w:pPr>
    </w:p>
    <w:p w14:paraId="4A95239E" w14:textId="229FE53C" w:rsidR="00DB3552" w:rsidRDefault="00893B2F" w:rsidP="004337B2">
      <w:pPr>
        <w:pStyle w:val="Heading1No"/>
        <w:rPr>
          <w:lang w:val="en-NZ"/>
        </w:rPr>
      </w:pPr>
      <w:bookmarkStart w:id="62" w:name="_Toc105753608"/>
      <w:r w:rsidRPr="004337B2">
        <w:lastRenderedPageBreak/>
        <w:t>Learner</w:t>
      </w:r>
      <w:r w:rsidR="00DB3552">
        <w:rPr>
          <w:lang w:val="en-NZ"/>
        </w:rPr>
        <w:t xml:space="preserve"> Support</w:t>
      </w:r>
      <w:bookmarkEnd w:id="62"/>
    </w:p>
    <w:p w14:paraId="56844FFF" w14:textId="3BDD2B51" w:rsidR="007C70FE" w:rsidRDefault="007C70FE" w:rsidP="007C70FE">
      <w:pPr>
        <w:pStyle w:val="BlockNumber"/>
        <w:ind w:left="1560"/>
      </w:pPr>
      <w:r>
        <w:t xml:space="preserve">All </w:t>
      </w:r>
      <w:r w:rsidR="00893B2F">
        <w:t>learner</w:t>
      </w:r>
      <w:r>
        <w:t xml:space="preserve">s enrolled with </w:t>
      </w:r>
      <w:r w:rsidR="00893B2F">
        <w:t>ATNZ</w:t>
      </w:r>
      <w:r>
        <w:t xml:space="preserve"> have access to </w:t>
      </w:r>
      <w:r w:rsidR="00893B2F">
        <w:t>learner</w:t>
      </w:r>
      <w:r>
        <w:t xml:space="preserve"> support services regardless of their location and mode of study.</w:t>
      </w:r>
    </w:p>
    <w:p w14:paraId="2CFDBD2F" w14:textId="65C76F57" w:rsidR="00B332C3" w:rsidRDefault="00893B2F" w:rsidP="00B332C3">
      <w:pPr>
        <w:pStyle w:val="BlockNumber"/>
        <w:ind w:left="1560"/>
      </w:pPr>
      <w:r>
        <w:t>ATNZ</w:t>
      </w:r>
      <w:r w:rsidR="007C70FE">
        <w:t xml:space="preserve"> </w:t>
      </w:r>
      <w:r w:rsidR="00B332C3">
        <w:t xml:space="preserve">is committed to </w:t>
      </w:r>
      <w:r w:rsidR="00B32D5C">
        <w:t xml:space="preserve">supporting </w:t>
      </w:r>
      <w:r>
        <w:t>learner</w:t>
      </w:r>
      <w:r w:rsidR="00871290">
        <w:t xml:space="preserve">s </w:t>
      </w:r>
      <w:r w:rsidR="00B32D5C">
        <w:t xml:space="preserve">to </w:t>
      </w:r>
      <w:r w:rsidR="007C70FE">
        <w:t xml:space="preserve">succeed. </w:t>
      </w:r>
      <w:r>
        <w:t>ATNZ</w:t>
      </w:r>
      <w:r w:rsidR="007C70FE">
        <w:t xml:space="preserve"> will </w:t>
      </w:r>
      <w:r w:rsidR="00B332C3">
        <w:t>interven</w:t>
      </w:r>
      <w:r w:rsidR="007C70FE">
        <w:t xml:space="preserve">e by approaching </w:t>
      </w:r>
      <w:r>
        <w:t>learner</w:t>
      </w:r>
      <w:r w:rsidR="00871290">
        <w:t xml:space="preserve">s </w:t>
      </w:r>
      <w:r w:rsidR="007C70FE">
        <w:t xml:space="preserve">to offer any </w:t>
      </w:r>
      <w:r w:rsidR="00B332C3">
        <w:t xml:space="preserve">required support services to enhance </w:t>
      </w:r>
      <w:r>
        <w:t>learner</w:t>
      </w:r>
      <w:r w:rsidR="00B332C3">
        <w:t xml:space="preserve"> retention, </w:t>
      </w:r>
      <w:proofErr w:type="gramStart"/>
      <w:r w:rsidR="00B332C3">
        <w:t>completions</w:t>
      </w:r>
      <w:proofErr w:type="gramEnd"/>
      <w:r w:rsidR="00B332C3">
        <w:t xml:space="preserve"> and work-readiness</w:t>
      </w:r>
      <w:r w:rsidR="007C70FE">
        <w:t xml:space="preserve"> if we believe that these may be beneficial to </w:t>
      </w:r>
      <w:r>
        <w:t>learner</w:t>
      </w:r>
      <w:r w:rsidR="00871290">
        <w:t>s</w:t>
      </w:r>
      <w:r w:rsidR="00B332C3">
        <w:t>.</w:t>
      </w:r>
    </w:p>
    <w:p w14:paraId="1D4F7BDC" w14:textId="46CB5687" w:rsidR="00CC70AA" w:rsidRDefault="00893B2F" w:rsidP="00CC70AA">
      <w:pPr>
        <w:pStyle w:val="BlockNumber"/>
        <w:numPr>
          <w:ilvl w:val="0"/>
          <w:numId w:val="0"/>
        </w:numPr>
        <w:ind w:left="2292" w:hanging="732"/>
      </w:pPr>
      <w:r>
        <w:t>ATNZ</w:t>
      </w:r>
      <w:r w:rsidR="007C70FE">
        <w:t>’s support model is based on:</w:t>
      </w:r>
    </w:p>
    <w:p w14:paraId="42E6F5AF" w14:textId="77777777" w:rsidR="00D03C65" w:rsidRDefault="007C70FE" w:rsidP="00CC70AA">
      <w:pPr>
        <w:pStyle w:val="BlockNumber"/>
        <w:numPr>
          <w:ilvl w:val="0"/>
          <w:numId w:val="0"/>
        </w:numPr>
        <w:ind w:left="1985" w:hanging="284"/>
      </w:pPr>
      <w:r>
        <w:t xml:space="preserve">- </w:t>
      </w:r>
      <w:r w:rsidR="00CC70AA">
        <w:tab/>
      </w:r>
      <w:r>
        <w:t xml:space="preserve">primary </w:t>
      </w:r>
      <w:r w:rsidR="00893B2F">
        <w:t>learner</w:t>
      </w:r>
      <w:r>
        <w:t xml:space="preserve"> support being offered by </w:t>
      </w:r>
      <w:r w:rsidR="006B5840">
        <w:t xml:space="preserve">their </w:t>
      </w:r>
      <w:r w:rsidR="00D03C65">
        <w:t xml:space="preserve">work-based learning Account Manager or </w:t>
      </w:r>
      <w:r>
        <w:t>tutors</w:t>
      </w:r>
    </w:p>
    <w:p w14:paraId="0D4F5ADA" w14:textId="4795433F" w:rsidR="00CC70AA" w:rsidRDefault="00D03C65" w:rsidP="006D54C6">
      <w:pPr>
        <w:pStyle w:val="BlockNumber"/>
        <w:numPr>
          <w:ilvl w:val="0"/>
          <w:numId w:val="0"/>
        </w:numPr>
        <w:ind w:left="2127" w:hanging="426"/>
      </w:pPr>
      <w:r>
        <w:t xml:space="preserve">- </w:t>
      </w:r>
      <w:r w:rsidR="006D54C6">
        <w:t xml:space="preserve">   </w:t>
      </w:r>
      <w:r>
        <w:t xml:space="preserve">on line support being available for learning and pastoral support  </w:t>
      </w:r>
      <w:r w:rsidR="007C70FE">
        <w:t xml:space="preserve"> </w:t>
      </w:r>
    </w:p>
    <w:p w14:paraId="385D0BF4" w14:textId="3E05580E" w:rsidR="007C70FE" w:rsidRDefault="007C70FE" w:rsidP="00CC70AA">
      <w:pPr>
        <w:pStyle w:val="BlockNumber"/>
        <w:numPr>
          <w:ilvl w:val="0"/>
          <w:numId w:val="0"/>
        </w:numPr>
        <w:ind w:left="1985" w:hanging="284"/>
      </w:pPr>
      <w:r>
        <w:t xml:space="preserve">- </w:t>
      </w:r>
      <w:r w:rsidR="00CC70AA">
        <w:tab/>
      </w:r>
      <w:r>
        <w:t xml:space="preserve">additional </w:t>
      </w:r>
      <w:r w:rsidR="00D03C65">
        <w:t xml:space="preserve">specialist </w:t>
      </w:r>
      <w:r>
        <w:t xml:space="preserve">support being available </w:t>
      </w:r>
      <w:r w:rsidR="00857926">
        <w:t xml:space="preserve">either through referral from your </w:t>
      </w:r>
      <w:r w:rsidR="007646C1">
        <w:t>Account Manager/T</w:t>
      </w:r>
      <w:r w:rsidR="00857926">
        <w:t xml:space="preserve">utor or </w:t>
      </w:r>
      <w:r w:rsidR="00893B2F">
        <w:t>learner</w:t>
      </w:r>
      <w:r w:rsidR="00871290">
        <w:t xml:space="preserve">s </w:t>
      </w:r>
      <w:r w:rsidR="00857926">
        <w:t>directly accessing these services.</w:t>
      </w:r>
      <w:r>
        <w:t xml:space="preserve"> </w:t>
      </w:r>
    </w:p>
    <w:p w14:paraId="503FD784" w14:textId="3328EB25" w:rsidR="00D03C65" w:rsidRDefault="00857926" w:rsidP="007C70FE">
      <w:pPr>
        <w:pStyle w:val="BlockNumber"/>
        <w:numPr>
          <w:ilvl w:val="0"/>
          <w:numId w:val="0"/>
        </w:numPr>
        <w:ind w:left="1560"/>
      </w:pPr>
      <w:r>
        <w:t xml:space="preserve">In the first instance, </w:t>
      </w:r>
      <w:r w:rsidR="00893B2F">
        <w:t>learner</w:t>
      </w:r>
      <w:r w:rsidR="00871290">
        <w:t xml:space="preserve">s </w:t>
      </w:r>
      <w:r>
        <w:t xml:space="preserve">should ensure that </w:t>
      </w:r>
      <w:r w:rsidR="00871290">
        <w:t xml:space="preserve">their </w:t>
      </w:r>
      <w:r w:rsidR="00D03C65">
        <w:t>Account Manager, T</w:t>
      </w:r>
      <w:r>
        <w:t xml:space="preserve">utor </w:t>
      </w:r>
      <w:r w:rsidR="00D03C65">
        <w:t xml:space="preserve">and/or the Learner </w:t>
      </w:r>
      <w:r w:rsidR="00F76A2D">
        <w:t xml:space="preserve">Administration and </w:t>
      </w:r>
      <w:r w:rsidR="00D03C65">
        <w:t xml:space="preserve">Support Manager </w:t>
      </w:r>
      <w:r>
        <w:t xml:space="preserve">is aware of any issues </w:t>
      </w:r>
      <w:r w:rsidR="00871290">
        <w:t xml:space="preserve">they </w:t>
      </w:r>
      <w:r>
        <w:t xml:space="preserve">are experiencing where support from </w:t>
      </w:r>
      <w:r w:rsidR="00893B2F">
        <w:t>ATNZ</w:t>
      </w:r>
      <w:r>
        <w:t xml:space="preserve"> may be beneficial.</w:t>
      </w:r>
      <w:r w:rsidR="00AD45C0">
        <w:t xml:space="preserve"> </w:t>
      </w:r>
    </w:p>
    <w:p w14:paraId="64A0504D" w14:textId="63FC611E" w:rsidR="007C70FE" w:rsidRDefault="00FF308F" w:rsidP="007C70FE">
      <w:pPr>
        <w:pStyle w:val="BlockNumber"/>
        <w:numPr>
          <w:ilvl w:val="0"/>
          <w:numId w:val="0"/>
        </w:numPr>
        <w:ind w:left="1560"/>
      </w:pPr>
      <w:r>
        <w:t xml:space="preserve">A </w:t>
      </w:r>
      <w:r w:rsidR="00893B2F">
        <w:t>learner</w:t>
      </w:r>
      <w:r>
        <w:t xml:space="preserve"> may </w:t>
      </w:r>
      <w:r w:rsidR="00D03C65">
        <w:t xml:space="preserve">request that their Account Manager or Tutor </w:t>
      </w:r>
      <w:r w:rsidR="000060AF">
        <w:t xml:space="preserve">is not advised of support needs that are discussed or arranged directly with the Leaner </w:t>
      </w:r>
      <w:r w:rsidR="00F76A2D">
        <w:t xml:space="preserve">Administration and </w:t>
      </w:r>
      <w:r w:rsidR="000060AF">
        <w:t xml:space="preserve">Support Manager where </w:t>
      </w:r>
      <w:r>
        <w:t xml:space="preserve">for any reason they do not wish to make their </w:t>
      </w:r>
      <w:r w:rsidR="00B428F0">
        <w:t xml:space="preserve">Account Manager or Tutor </w:t>
      </w:r>
      <w:r>
        <w:t>aware of the issue they are experiencing.</w:t>
      </w:r>
    </w:p>
    <w:p w14:paraId="753590CE" w14:textId="1C700805" w:rsidR="007C70FE" w:rsidRDefault="00893B2F" w:rsidP="00B332C3">
      <w:pPr>
        <w:pStyle w:val="BlockNumber"/>
        <w:ind w:left="1560"/>
      </w:pPr>
      <w:r>
        <w:t>Learner</w:t>
      </w:r>
      <w:r w:rsidR="007C70FE">
        <w:t xml:space="preserve">s also have responsibility for ensuring that </w:t>
      </w:r>
      <w:r>
        <w:t>ATNZ</w:t>
      </w:r>
      <w:r w:rsidR="007C70FE">
        <w:t xml:space="preserve"> is made aware of any issues you are experiencing and what support might be beneficial in helping you with these.  </w:t>
      </w:r>
    </w:p>
    <w:p w14:paraId="23013230" w14:textId="36D3DB74" w:rsidR="00B332C3" w:rsidRDefault="00893B2F" w:rsidP="00B332C3">
      <w:pPr>
        <w:pStyle w:val="BlockNumber"/>
        <w:ind w:left="1560"/>
      </w:pPr>
      <w:r>
        <w:t>ATNZ</w:t>
      </w:r>
      <w:r w:rsidR="007C70FE">
        <w:t xml:space="preserve"> will identify </w:t>
      </w:r>
      <w:r>
        <w:t>learner</w:t>
      </w:r>
      <w:r w:rsidR="007C70FE">
        <w:t xml:space="preserve">s </w:t>
      </w:r>
      <w:r w:rsidR="00CC70AA">
        <w:t xml:space="preserve">who </w:t>
      </w:r>
      <w:r w:rsidR="007C70FE">
        <w:t xml:space="preserve">we believe are a high </w:t>
      </w:r>
      <w:r w:rsidR="00B332C3">
        <w:t>priority</w:t>
      </w:r>
      <w:r w:rsidR="007C70FE">
        <w:t xml:space="preserve"> for support and will monitor the progress of such </w:t>
      </w:r>
      <w:r>
        <w:t>learner</w:t>
      </w:r>
      <w:r w:rsidR="007C70FE">
        <w:t>s closely</w:t>
      </w:r>
      <w:r w:rsidR="00B332C3">
        <w:t>.</w:t>
      </w:r>
    </w:p>
    <w:p w14:paraId="7FEF1EF2" w14:textId="21051E89" w:rsidR="00B332C3" w:rsidRDefault="00CC70AA" w:rsidP="00B332C3">
      <w:pPr>
        <w:pStyle w:val="BlockNumber"/>
        <w:ind w:left="1560"/>
      </w:pPr>
      <w:r>
        <w:t xml:space="preserve">The </w:t>
      </w:r>
      <w:r w:rsidR="00893B2F">
        <w:t>learner</w:t>
      </w:r>
      <w:r>
        <w:t xml:space="preserve"> support services beyond those provided by your </w:t>
      </w:r>
      <w:r w:rsidR="000060AF">
        <w:t xml:space="preserve">Account </w:t>
      </w:r>
      <w:r w:rsidR="00B428F0">
        <w:t>M</w:t>
      </w:r>
      <w:r w:rsidR="000060AF">
        <w:t xml:space="preserve">anager or Tutor </w:t>
      </w:r>
      <w:r>
        <w:t xml:space="preserve">are </w:t>
      </w:r>
      <w:r w:rsidR="00B332C3">
        <w:t xml:space="preserve">facilitated by </w:t>
      </w:r>
      <w:r w:rsidR="000060AF">
        <w:t xml:space="preserve">the Learner </w:t>
      </w:r>
      <w:r w:rsidR="00F76A2D">
        <w:t xml:space="preserve">Administration and </w:t>
      </w:r>
      <w:r w:rsidR="000060AF">
        <w:t xml:space="preserve">Support Manager </w:t>
      </w:r>
      <w:r w:rsidR="00B332C3">
        <w:t xml:space="preserve">and </w:t>
      </w:r>
      <w:r>
        <w:t xml:space="preserve">may be </w:t>
      </w:r>
      <w:r w:rsidR="00B332C3">
        <w:t xml:space="preserve">delivered </w:t>
      </w:r>
      <w:r>
        <w:t xml:space="preserve">through both </w:t>
      </w:r>
      <w:r w:rsidR="00893B2F">
        <w:t>ATNZ</w:t>
      </w:r>
      <w:r>
        <w:t xml:space="preserve"> staff and </w:t>
      </w:r>
      <w:r w:rsidR="00B332C3">
        <w:t xml:space="preserve">external </w:t>
      </w:r>
      <w:r>
        <w:t>support partners/</w:t>
      </w:r>
      <w:r w:rsidR="00B332C3">
        <w:t>resources.</w:t>
      </w:r>
    </w:p>
    <w:p w14:paraId="13831D02" w14:textId="044CDB4B" w:rsidR="00B332C3" w:rsidRDefault="00893B2F" w:rsidP="00B332C3">
      <w:pPr>
        <w:pStyle w:val="BlockNumber"/>
        <w:ind w:left="1560"/>
      </w:pPr>
      <w:r>
        <w:t>Learner</w:t>
      </w:r>
      <w:r w:rsidR="00B332C3">
        <w:t xml:space="preserve">s </w:t>
      </w:r>
      <w:proofErr w:type="gramStart"/>
      <w:r w:rsidR="00CC70AA">
        <w:t>are able to</w:t>
      </w:r>
      <w:proofErr w:type="gramEnd"/>
      <w:r w:rsidR="00CC70AA">
        <w:t xml:space="preserve"> identify the </w:t>
      </w:r>
      <w:r w:rsidR="00B332C3">
        <w:t xml:space="preserve">available </w:t>
      </w:r>
      <w:r>
        <w:t>learner</w:t>
      </w:r>
      <w:r w:rsidR="00B332C3">
        <w:t xml:space="preserve"> support services and how to access them in a variety of ways that include:</w:t>
      </w:r>
    </w:p>
    <w:p w14:paraId="27FC8934" w14:textId="0284B943" w:rsidR="00B332C3" w:rsidRDefault="00893B2F" w:rsidP="00566D87">
      <w:pPr>
        <w:pStyle w:val="BlockNumber"/>
        <w:numPr>
          <w:ilvl w:val="2"/>
          <w:numId w:val="26"/>
        </w:numPr>
        <w:ind w:hanging="307"/>
      </w:pPr>
      <w:r>
        <w:t>Learner</w:t>
      </w:r>
      <w:r w:rsidR="00B332C3">
        <w:t xml:space="preserve"> </w:t>
      </w:r>
      <w:proofErr w:type="gramStart"/>
      <w:r w:rsidR="00B332C3">
        <w:t>handbook;</w:t>
      </w:r>
      <w:proofErr w:type="gramEnd"/>
    </w:p>
    <w:p w14:paraId="1E286191" w14:textId="52BA67B0" w:rsidR="00B332C3" w:rsidRDefault="00893B2F" w:rsidP="00566D87">
      <w:pPr>
        <w:pStyle w:val="BlockNumber"/>
        <w:numPr>
          <w:ilvl w:val="2"/>
          <w:numId w:val="26"/>
        </w:numPr>
        <w:ind w:hanging="307"/>
      </w:pPr>
      <w:r>
        <w:t>Learner</w:t>
      </w:r>
      <w:r w:rsidR="00B332C3">
        <w:t xml:space="preserve"> </w:t>
      </w:r>
      <w:proofErr w:type="gramStart"/>
      <w:r w:rsidR="002B0AC6">
        <w:t>induction</w:t>
      </w:r>
      <w:r w:rsidR="00B332C3">
        <w:t>;</w:t>
      </w:r>
      <w:proofErr w:type="gramEnd"/>
    </w:p>
    <w:p w14:paraId="0E33AAB5" w14:textId="28EDCB9C" w:rsidR="00B332C3" w:rsidRDefault="00893B2F" w:rsidP="00566D87">
      <w:pPr>
        <w:pStyle w:val="BlockNumber"/>
        <w:numPr>
          <w:ilvl w:val="2"/>
          <w:numId w:val="26"/>
        </w:numPr>
        <w:ind w:hanging="307"/>
      </w:pPr>
      <w:r>
        <w:t>ATNZ</w:t>
      </w:r>
      <w:r w:rsidR="00B332C3">
        <w:t xml:space="preserve"> internet/</w:t>
      </w:r>
      <w:proofErr w:type="gramStart"/>
      <w:r w:rsidR="00B332C3">
        <w:t>intranet;</w:t>
      </w:r>
      <w:proofErr w:type="gramEnd"/>
    </w:p>
    <w:p w14:paraId="6F28899D" w14:textId="7CE0BA9F" w:rsidR="00B332C3" w:rsidRDefault="00B332C3" w:rsidP="00566D87">
      <w:pPr>
        <w:pStyle w:val="BlockNumber"/>
        <w:numPr>
          <w:ilvl w:val="2"/>
          <w:numId w:val="26"/>
        </w:numPr>
        <w:ind w:hanging="307"/>
      </w:pPr>
      <w:r>
        <w:t xml:space="preserve">Advice/referrals from </w:t>
      </w:r>
      <w:r w:rsidR="00893B2F">
        <w:t>ATNZ</w:t>
      </w:r>
      <w:r>
        <w:t xml:space="preserve"> </w:t>
      </w:r>
      <w:proofErr w:type="gramStart"/>
      <w:r>
        <w:t>staff;</w:t>
      </w:r>
      <w:proofErr w:type="gramEnd"/>
    </w:p>
    <w:p w14:paraId="4C412A38" w14:textId="77777777" w:rsidR="00B332C3" w:rsidRDefault="00B332C3" w:rsidP="00566D87">
      <w:pPr>
        <w:pStyle w:val="BlockNumber"/>
        <w:numPr>
          <w:ilvl w:val="2"/>
          <w:numId w:val="26"/>
        </w:numPr>
        <w:ind w:hanging="307"/>
      </w:pPr>
      <w:r>
        <w:t>Emails, texts, closed groups in social media.</w:t>
      </w:r>
    </w:p>
    <w:p w14:paraId="7AFD8E31" w14:textId="62C887CD" w:rsidR="00895CC3" w:rsidRDefault="00893B2F" w:rsidP="00895CC3">
      <w:pPr>
        <w:pStyle w:val="BlockNumber"/>
        <w:ind w:left="1560"/>
      </w:pPr>
      <w:r>
        <w:t>Learner</w:t>
      </w:r>
      <w:r w:rsidR="00895CC3">
        <w:t xml:space="preserve">s also have responsibility to ensuring that </w:t>
      </w:r>
      <w:r w:rsidR="006B5840">
        <w:t xml:space="preserve">they </w:t>
      </w:r>
      <w:r w:rsidR="00895CC3">
        <w:t>are aware of the support services that may be available and how these may be accessed.</w:t>
      </w:r>
    </w:p>
    <w:p w14:paraId="6C44F006" w14:textId="2C0CF671" w:rsidR="00B332C3" w:rsidRDefault="00CC70AA" w:rsidP="00CC70AA">
      <w:pPr>
        <w:pStyle w:val="BlockNumber"/>
        <w:ind w:left="1560"/>
      </w:pPr>
      <w:r>
        <w:t xml:space="preserve">The </w:t>
      </w:r>
      <w:r w:rsidR="00893B2F">
        <w:t>learner</w:t>
      </w:r>
      <w:r>
        <w:t xml:space="preserve"> support services that </w:t>
      </w:r>
      <w:r w:rsidR="00893B2F">
        <w:t>ATNZ</w:t>
      </w:r>
      <w:r>
        <w:t xml:space="preserve"> will make available include: </w:t>
      </w:r>
    </w:p>
    <w:p w14:paraId="2BB90AB2" w14:textId="77777777" w:rsidR="00B332C3" w:rsidRDefault="00CC70AA" w:rsidP="00566D87">
      <w:pPr>
        <w:pStyle w:val="BlockNumber"/>
        <w:numPr>
          <w:ilvl w:val="2"/>
          <w:numId w:val="27"/>
        </w:numPr>
        <w:ind w:hanging="307"/>
      </w:pPr>
      <w:r>
        <w:t xml:space="preserve">Additional support with </w:t>
      </w:r>
      <w:r w:rsidR="00895CC3">
        <w:t>the k</w:t>
      </w:r>
      <w:r w:rsidR="00B332C3">
        <w:t>nowledge</w:t>
      </w:r>
      <w:r w:rsidR="00895CC3">
        <w:t xml:space="preserve"> and skills in your course</w:t>
      </w:r>
      <w:r>
        <w:t xml:space="preserve">  </w:t>
      </w:r>
    </w:p>
    <w:p w14:paraId="74DC1385" w14:textId="77777777" w:rsidR="00B332C3" w:rsidRDefault="00B332C3" w:rsidP="00566D87">
      <w:pPr>
        <w:pStyle w:val="BlockNumber"/>
        <w:numPr>
          <w:ilvl w:val="2"/>
          <w:numId w:val="27"/>
        </w:numPr>
        <w:ind w:hanging="307"/>
      </w:pPr>
      <w:r>
        <w:t xml:space="preserve">Literacy and numeracy </w:t>
      </w:r>
      <w:proofErr w:type="gramStart"/>
      <w:r>
        <w:t>testing;</w:t>
      </w:r>
      <w:proofErr w:type="gramEnd"/>
    </w:p>
    <w:p w14:paraId="39E5D2BF" w14:textId="77777777" w:rsidR="00B332C3" w:rsidRDefault="00B332C3" w:rsidP="00566D87">
      <w:pPr>
        <w:pStyle w:val="BlockNumber"/>
        <w:numPr>
          <w:ilvl w:val="2"/>
          <w:numId w:val="27"/>
        </w:numPr>
        <w:ind w:hanging="307"/>
      </w:pPr>
      <w:r>
        <w:lastRenderedPageBreak/>
        <w:t>Learning support: literacy/numeracy, academic counselling, study skills.</w:t>
      </w:r>
    </w:p>
    <w:p w14:paraId="40D2C5EC" w14:textId="77777777" w:rsidR="00B332C3" w:rsidRDefault="00895CC3" w:rsidP="00566D87">
      <w:pPr>
        <w:pStyle w:val="BlockNumber"/>
        <w:numPr>
          <w:ilvl w:val="2"/>
          <w:numId w:val="27"/>
        </w:numPr>
        <w:ind w:hanging="307"/>
      </w:pPr>
      <w:r>
        <w:t xml:space="preserve">Health and </w:t>
      </w:r>
      <w:r w:rsidR="00B332C3">
        <w:t>Wellbeing</w:t>
      </w:r>
    </w:p>
    <w:p w14:paraId="70FFD515" w14:textId="77777777" w:rsidR="00B332C3" w:rsidRDefault="00B332C3" w:rsidP="00566D87">
      <w:pPr>
        <w:pStyle w:val="BlockNumber"/>
        <w:numPr>
          <w:ilvl w:val="2"/>
          <w:numId w:val="27"/>
        </w:numPr>
        <w:ind w:hanging="307"/>
      </w:pPr>
      <w:r>
        <w:t>Disability</w:t>
      </w:r>
      <w:r w:rsidR="00895CC3">
        <w:t xml:space="preserve"> support</w:t>
      </w:r>
      <w:r>
        <w:t xml:space="preserve">:  physical, mental health, specific learning </w:t>
      </w:r>
      <w:proofErr w:type="gramStart"/>
      <w:r>
        <w:t>disorders;</w:t>
      </w:r>
      <w:proofErr w:type="gramEnd"/>
    </w:p>
    <w:p w14:paraId="219E8B7B" w14:textId="77777777" w:rsidR="00B332C3" w:rsidRDefault="00B332C3" w:rsidP="00566D87">
      <w:pPr>
        <w:pStyle w:val="BlockNumber"/>
        <w:numPr>
          <w:ilvl w:val="2"/>
          <w:numId w:val="27"/>
        </w:numPr>
        <w:ind w:hanging="307"/>
      </w:pPr>
      <w:r>
        <w:t>Counselling.</w:t>
      </w:r>
    </w:p>
    <w:p w14:paraId="5A59A31B" w14:textId="77777777" w:rsidR="00B332C3" w:rsidRDefault="00895CC3" w:rsidP="00566D87">
      <w:pPr>
        <w:pStyle w:val="BlockNumber"/>
        <w:numPr>
          <w:ilvl w:val="2"/>
          <w:numId w:val="27"/>
        </w:numPr>
        <w:ind w:hanging="307"/>
      </w:pPr>
      <w:r>
        <w:t xml:space="preserve">Personal </w:t>
      </w:r>
      <w:r w:rsidR="00B332C3">
        <w:t>Development</w:t>
      </w:r>
    </w:p>
    <w:p w14:paraId="3BD33034" w14:textId="77777777" w:rsidR="00B332C3" w:rsidRDefault="00B332C3" w:rsidP="00566D87">
      <w:pPr>
        <w:pStyle w:val="BlockNumber"/>
        <w:numPr>
          <w:ilvl w:val="2"/>
          <w:numId w:val="27"/>
        </w:numPr>
        <w:ind w:hanging="307"/>
      </w:pPr>
      <w:r>
        <w:t xml:space="preserve">Career guidance/job seeker </w:t>
      </w:r>
      <w:proofErr w:type="gramStart"/>
      <w:r>
        <w:t>skills;</w:t>
      </w:r>
      <w:proofErr w:type="gramEnd"/>
    </w:p>
    <w:p w14:paraId="2FED1C39" w14:textId="77777777" w:rsidR="00B332C3" w:rsidRDefault="00B332C3" w:rsidP="00566D87">
      <w:pPr>
        <w:pStyle w:val="BlockNumber"/>
        <w:numPr>
          <w:ilvl w:val="2"/>
          <w:numId w:val="27"/>
        </w:numPr>
        <w:ind w:hanging="307"/>
      </w:pPr>
      <w:r>
        <w:t xml:space="preserve">Hardship/financial </w:t>
      </w:r>
      <w:proofErr w:type="gramStart"/>
      <w:r>
        <w:t>advice;</w:t>
      </w:r>
      <w:proofErr w:type="gramEnd"/>
    </w:p>
    <w:p w14:paraId="36608EAC" w14:textId="77777777" w:rsidR="00B332C3" w:rsidRDefault="00895CC3" w:rsidP="00566D87">
      <w:pPr>
        <w:pStyle w:val="BlockNumber"/>
        <w:numPr>
          <w:ilvl w:val="2"/>
          <w:numId w:val="27"/>
        </w:numPr>
        <w:ind w:hanging="307"/>
      </w:pPr>
      <w:r>
        <w:t xml:space="preserve">Support in working with </w:t>
      </w:r>
      <w:r w:rsidR="00B332C3">
        <w:t xml:space="preserve">Study </w:t>
      </w:r>
      <w:proofErr w:type="gramStart"/>
      <w:r w:rsidR="00B332C3">
        <w:t>Link;</w:t>
      </w:r>
      <w:proofErr w:type="gramEnd"/>
    </w:p>
    <w:p w14:paraId="21F10F88" w14:textId="77777777" w:rsidR="00B332C3" w:rsidRDefault="00B332C3" w:rsidP="00566D87">
      <w:pPr>
        <w:pStyle w:val="BlockNumber"/>
        <w:numPr>
          <w:ilvl w:val="2"/>
          <w:numId w:val="27"/>
        </w:numPr>
        <w:ind w:hanging="307"/>
      </w:pPr>
      <w:r>
        <w:t xml:space="preserve">Independent personal </w:t>
      </w:r>
      <w:proofErr w:type="gramStart"/>
      <w:r>
        <w:t>skills;</w:t>
      </w:r>
      <w:proofErr w:type="gramEnd"/>
    </w:p>
    <w:p w14:paraId="37ED9944" w14:textId="77777777" w:rsidR="00B332C3" w:rsidRDefault="00B332C3" w:rsidP="00566D87">
      <w:pPr>
        <w:pStyle w:val="BlockNumber"/>
        <w:numPr>
          <w:ilvl w:val="2"/>
          <w:numId w:val="27"/>
        </w:numPr>
        <w:ind w:hanging="307"/>
      </w:pPr>
      <w:r>
        <w:t>Information pertaining to driver licensing.</w:t>
      </w:r>
    </w:p>
    <w:p w14:paraId="311D9CC5" w14:textId="71EA7C72" w:rsidR="00B332C3" w:rsidRDefault="00893B2F" w:rsidP="00566D87">
      <w:pPr>
        <w:pStyle w:val="BlockNumber"/>
        <w:numPr>
          <w:ilvl w:val="2"/>
          <w:numId w:val="27"/>
        </w:numPr>
        <w:ind w:hanging="307"/>
      </w:pPr>
      <w:r>
        <w:t>Learner</w:t>
      </w:r>
      <w:r w:rsidR="00B332C3">
        <w:t xml:space="preserve"> advocacy</w:t>
      </w:r>
    </w:p>
    <w:p w14:paraId="669586EB" w14:textId="6A0853FF" w:rsidR="00895CC3" w:rsidRDefault="00895CC3" w:rsidP="00895CC3">
      <w:pPr>
        <w:pStyle w:val="BlockNumber"/>
        <w:ind w:left="1560"/>
      </w:pPr>
      <w:r>
        <w:t xml:space="preserve">Literacy, </w:t>
      </w:r>
      <w:proofErr w:type="gramStart"/>
      <w:r>
        <w:t>numeracy</w:t>
      </w:r>
      <w:proofErr w:type="gramEnd"/>
      <w:r>
        <w:t xml:space="preserve"> and personal development skills are embedded in </w:t>
      </w:r>
      <w:r w:rsidR="00893B2F">
        <w:t>ATNZ</w:t>
      </w:r>
      <w:r>
        <w:t xml:space="preserve"> curriculum and delivery and will be part of your learning experience. Additional support for specific or additional assistance is also available through the </w:t>
      </w:r>
      <w:r w:rsidR="00893B2F">
        <w:t>Learner</w:t>
      </w:r>
      <w:r>
        <w:t xml:space="preserve"> Support services. </w:t>
      </w:r>
    </w:p>
    <w:p w14:paraId="1165DE4F" w14:textId="7D4A1D3C" w:rsidR="00B332C3" w:rsidRDefault="00893B2F" w:rsidP="00895CC3">
      <w:pPr>
        <w:pStyle w:val="BlockNumber"/>
        <w:ind w:left="1560"/>
      </w:pPr>
      <w:r>
        <w:t>ATNZ</w:t>
      </w:r>
      <w:r w:rsidR="00895CC3">
        <w:t xml:space="preserve"> </w:t>
      </w:r>
      <w:r w:rsidR="00B332C3">
        <w:t xml:space="preserve">values the </w:t>
      </w:r>
      <w:r>
        <w:t>learner</w:t>
      </w:r>
      <w:r w:rsidR="00B332C3">
        <w:t xml:space="preserve"> voice</w:t>
      </w:r>
      <w:r w:rsidR="00895CC3">
        <w:t xml:space="preserve">. </w:t>
      </w:r>
      <w:r>
        <w:t>Learner</w:t>
      </w:r>
      <w:r w:rsidR="00B332C3">
        <w:t xml:space="preserve">s </w:t>
      </w:r>
      <w:r w:rsidR="00895CC3">
        <w:t xml:space="preserve">will be consulted with </w:t>
      </w:r>
      <w:r w:rsidR="00B332C3">
        <w:t>and encouraged to provide feedback via various mediums to inform change and improvements</w:t>
      </w:r>
      <w:r w:rsidR="00895CC3">
        <w:t xml:space="preserve"> in everything that </w:t>
      </w:r>
      <w:r>
        <w:t>ATNZ</w:t>
      </w:r>
      <w:r w:rsidR="00895CC3">
        <w:t xml:space="preserve"> offers</w:t>
      </w:r>
      <w:r w:rsidR="00D338A7">
        <w:t>,</w:t>
      </w:r>
      <w:r w:rsidR="000060AF">
        <w:t xml:space="preserve"> including Learner Support</w:t>
      </w:r>
      <w:r w:rsidR="00B332C3">
        <w:t>.</w:t>
      </w:r>
    </w:p>
    <w:p w14:paraId="0C0E369F" w14:textId="78AC20EB" w:rsidR="00895CC3" w:rsidRDefault="000060AF" w:rsidP="00895CC3">
      <w:pPr>
        <w:pStyle w:val="BlockNumber"/>
        <w:ind w:left="1560"/>
      </w:pPr>
      <w:r>
        <w:t xml:space="preserve">The Learner </w:t>
      </w:r>
      <w:r w:rsidR="00F76A2D">
        <w:t xml:space="preserve">Administration and </w:t>
      </w:r>
      <w:r>
        <w:t xml:space="preserve">Support Manager is available to you as </w:t>
      </w:r>
      <w:r w:rsidR="00895CC3">
        <w:t>an advocate if you wish to have support in cases of complaints, appeals</w:t>
      </w:r>
      <w:r w:rsidR="005A173B">
        <w:t xml:space="preserve">, </w:t>
      </w:r>
      <w:proofErr w:type="spellStart"/>
      <w:proofErr w:type="gramStart"/>
      <w:r w:rsidR="005A173B">
        <w:t>misbehaviou</w:t>
      </w:r>
      <w:r w:rsidR="00FC0094">
        <w:t>r</w:t>
      </w:r>
      <w:proofErr w:type="spellEnd"/>
      <w:proofErr w:type="gramEnd"/>
      <w:r w:rsidR="00895CC3">
        <w:t xml:space="preserve"> or misconduct. </w:t>
      </w:r>
    </w:p>
    <w:p w14:paraId="185234E6" w14:textId="51733166" w:rsidR="00895CC3" w:rsidRDefault="00893B2F" w:rsidP="00895CC3">
      <w:pPr>
        <w:pStyle w:val="BlockNumber"/>
        <w:ind w:left="1560"/>
      </w:pPr>
      <w:r>
        <w:t>ATNZ</w:t>
      </w:r>
      <w:r w:rsidR="00895CC3">
        <w:t xml:space="preserve"> will monitor t</w:t>
      </w:r>
      <w:r w:rsidR="00B332C3">
        <w:t xml:space="preserve">he use of </w:t>
      </w:r>
      <w:r>
        <w:t>learner</w:t>
      </w:r>
      <w:r w:rsidR="00B332C3">
        <w:t xml:space="preserve"> support services </w:t>
      </w:r>
      <w:r w:rsidR="00895CC3">
        <w:t xml:space="preserve">and the effectiveness of these on </w:t>
      </w:r>
      <w:r>
        <w:t>learner</w:t>
      </w:r>
      <w:r w:rsidR="00B332C3">
        <w:t xml:space="preserve"> retention and completions</w:t>
      </w:r>
      <w:r w:rsidR="00895CC3">
        <w:t xml:space="preserve">. These will be </w:t>
      </w:r>
      <w:r w:rsidR="00B332C3">
        <w:t>evaluated annually or as required</w:t>
      </w:r>
      <w:r w:rsidR="00895CC3">
        <w:t xml:space="preserve"> and will inform changes in future </w:t>
      </w:r>
      <w:r>
        <w:t>learner</w:t>
      </w:r>
      <w:r w:rsidR="00895CC3">
        <w:t xml:space="preserve"> support</w:t>
      </w:r>
      <w:r w:rsidR="00B332C3">
        <w:t>.</w:t>
      </w:r>
    </w:p>
    <w:bookmarkEnd w:id="60"/>
    <w:bookmarkEnd w:id="61"/>
    <w:p w14:paraId="1BE046F4" w14:textId="26CA0DBE" w:rsidR="00D93F3A" w:rsidRDefault="00D93F3A" w:rsidP="00D93F3A">
      <w:pPr>
        <w:pStyle w:val="BlockNumber"/>
        <w:numPr>
          <w:ilvl w:val="0"/>
          <w:numId w:val="0"/>
        </w:numPr>
        <w:ind w:left="1587"/>
        <w:rPr>
          <w:rFonts w:cs="Arial"/>
          <w:lang w:val="en-NZ"/>
        </w:rPr>
      </w:pPr>
    </w:p>
    <w:p w14:paraId="5E5C7F37" w14:textId="77777777" w:rsidR="00AC25A6" w:rsidRPr="0003653F" w:rsidRDefault="00AC25A6" w:rsidP="00D93F3A">
      <w:pPr>
        <w:pStyle w:val="BlockNumber"/>
        <w:numPr>
          <w:ilvl w:val="0"/>
          <w:numId w:val="0"/>
        </w:numPr>
        <w:ind w:left="1587"/>
        <w:rPr>
          <w:rFonts w:cs="Arial"/>
          <w:lang w:val="en-NZ"/>
        </w:rPr>
      </w:pPr>
    </w:p>
    <w:p w14:paraId="060EAE99" w14:textId="77777777" w:rsidR="00AA2597" w:rsidRPr="00032FAF" w:rsidRDefault="00D72A1B" w:rsidP="004337B2">
      <w:pPr>
        <w:pStyle w:val="Heading1No"/>
        <w:rPr>
          <w:lang w:val="en-NZ"/>
        </w:rPr>
      </w:pPr>
      <w:bookmarkStart w:id="63" w:name="_Toc352741626"/>
      <w:bookmarkStart w:id="64" w:name="_Toc352763813"/>
      <w:bookmarkStart w:id="65" w:name="_Toc105753609"/>
      <w:r w:rsidRPr="00032FAF">
        <w:rPr>
          <w:lang w:val="en-NZ"/>
        </w:rPr>
        <w:t xml:space="preserve">Intellectual </w:t>
      </w:r>
      <w:r w:rsidRPr="004337B2">
        <w:t>Property</w:t>
      </w:r>
      <w:bookmarkEnd w:id="63"/>
      <w:bookmarkEnd w:id="64"/>
      <w:bookmarkEnd w:id="65"/>
    </w:p>
    <w:p w14:paraId="7C4CE0A5" w14:textId="4D9E9996" w:rsidR="0030114A" w:rsidRPr="0003653F" w:rsidRDefault="00D72A1B" w:rsidP="00D25480">
      <w:pPr>
        <w:pStyle w:val="BlockNumber"/>
        <w:ind w:left="1587" w:hanging="873"/>
        <w:rPr>
          <w:rFonts w:cs="Arial"/>
          <w:szCs w:val="20"/>
          <w:lang w:val="en-NZ"/>
        </w:rPr>
      </w:pPr>
      <w:r w:rsidRPr="0003653F">
        <w:rPr>
          <w:rFonts w:cs="Arial"/>
          <w:szCs w:val="20"/>
          <w:lang w:val="en-NZ"/>
        </w:rPr>
        <w:t xml:space="preserve">Ownership of </w:t>
      </w:r>
      <w:r w:rsidR="00F119EE" w:rsidRPr="0003653F">
        <w:rPr>
          <w:rFonts w:cs="Arial"/>
          <w:szCs w:val="20"/>
          <w:lang w:val="en-NZ"/>
        </w:rPr>
        <w:t>i</w:t>
      </w:r>
      <w:r w:rsidRPr="0003653F">
        <w:rPr>
          <w:rFonts w:cs="Arial"/>
          <w:szCs w:val="20"/>
          <w:lang w:val="en-NZ"/>
        </w:rPr>
        <w:t xml:space="preserve">ntellectual property created by </w:t>
      </w:r>
      <w:r w:rsidR="00893B2F">
        <w:rPr>
          <w:rFonts w:cs="Arial"/>
          <w:szCs w:val="20"/>
          <w:lang w:val="en-NZ"/>
        </w:rPr>
        <w:t>learner</w:t>
      </w:r>
      <w:r w:rsidRPr="0003653F">
        <w:rPr>
          <w:rFonts w:cs="Arial"/>
          <w:szCs w:val="20"/>
          <w:lang w:val="en-NZ"/>
        </w:rPr>
        <w:t xml:space="preserve">s </w:t>
      </w:r>
      <w:proofErr w:type="gramStart"/>
      <w:r w:rsidRPr="0003653F">
        <w:rPr>
          <w:rFonts w:cs="Arial"/>
          <w:szCs w:val="20"/>
          <w:lang w:val="en-NZ"/>
        </w:rPr>
        <w:t>in the course of</w:t>
      </w:r>
      <w:proofErr w:type="gramEnd"/>
      <w:r w:rsidRPr="0003653F">
        <w:rPr>
          <w:rFonts w:cs="Arial"/>
          <w:szCs w:val="20"/>
          <w:lang w:val="en-NZ"/>
        </w:rPr>
        <w:t xml:space="preserve"> their enrolment at </w:t>
      </w:r>
      <w:r w:rsidR="00893B2F">
        <w:rPr>
          <w:rFonts w:cs="Arial"/>
          <w:szCs w:val="20"/>
          <w:lang w:val="en-NZ"/>
        </w:rPr>
        <w:t>ATNZ</w:t>
      </w:r>
      <w:r w:rsidRPr="0003653F">
        <w:rPr>
          <w:rFonts w:cs="Arial"/>
          <w:szCs w:val="20"/>
          <w:lang w:val="en-NZ"/>
        </w:rPr>
        <w:t xml:space="preserve"> </w:t>
      </w:r>
      <w:r w:rsidR="00B67CF9" w:rsidRPr="0003653F">
        <w:rPr>
          <w:rFonts w:cs="Arial"/>
          <w:szCs w:val="20"/>
          <w:lang w:val="en-NZ"/>
        </w:rPr>
        <w:t>shall</w:t>
      </w:r>
      <w:r w:rsidRPr="0003653F">
        <w:rPr>
          <w:rFonts w:cs="Arial"/>
          <w:szCs w:val="20"/>
          <w:lang w:val="en-NZ"/>
        </w:rPr>
        <w:t xml:space="preserve"> be determined in accordance with the </w:t>
      </w:r>
      <w:r w:rsidR="00893B2F">
        <w:rPr>
          <w:rFonts w:cs="Arial"/>
          <w:szCs w:val="20"/>
          <w:lang w:val="en-NZ"/>
        </w:rPr>
        <w:t>ATNZ</w:t>
      </w:r>
      <w:r w:rsidR="00EE18F7" w:rsidRPr="0003653F">
        <w:rPr>
          <w:rFonts w:cs="Arial"/>
          <w:szCs w:val="20"/>
          <w:lang w:val="en-NZ"/>
        </w:rPr>
        <w:t xml:space="preserve"> </w:t>
      </w:r>
      <w:r w:rsidRPr="0003653F">
        <w:rPr>
          <w:rFonts w:cs="Arial"/>
          <w:i/>
          <w:szCs w:val="20"/>
          <w:lang w:val="en-NZ"/>
        </w:rPr>
        <w:t>Intellectual Property Policy</w:t>
      </w:r>
      <w:r w:rsidRPr="0003653F">
        <w:rPr>
          <w:rFonts w:cs="Arial"/>
          <w:szCs w:val="20"/>
          <w:lang w:val="en-NZ"/>
        </w:rPr>
        <w:t xml:space="preserve">. </w:t>
      </w:r>
    </w:p>
    <w:p w14:paraId="0A17FDFF" w14:textId="1425C35D" w:rsidR="00A44324" w:rsidRDefault="00A44324" w:rsidP="00622552">
      <w:pPr>
        <w:pStyle w:val="BlockNumber"/>
        <w:numPr>
          <w:ilvl w:val="0"/>
          <w:numId w:val="0"/>
        </w:numPr>
        <w:ind w:left="1588"/>
        <w:rPr>
          <w:rFonts w:cs="Arial"/>
          <w:szCs w:val="20"/>
          <w:lang w:val="en-NZ"/>
        </w:rPr>
      </w:pPr>
    </w:p>
    <w:p w14:paraId="07C48A13" w14:textId="1DA711B2" w:rsidR="00AC25A6" w:rsidRDefault="00AC25A6" w:rsidP="00622552">
      <w:pPr>
        <w:pStyle w:val="BlockNumber"/>
        <w:numPr>
          <w:ilvl w:val="0"/>
          <w:numId w:val="0"/>
        </w:numPr>
        <w:ind w:left="1588"/>
        <w:rPr>
          <w:rFonts w:cs="Arial"/>
          <w:szCs w:val="20"/>
          <w:lang w:val="en-NZ"/>
        </w:rPr>
      </w:pPr>
    </w:p>
    <w:p w14:paraId="2D5E9742" w14:textId="77777777" w:rsidR="00AC25A6" w:rsidRPr="0003653F" w:rsidRDefault="00AC25A6" w:rsidP="00622552">
      <w:pPr>
        <w:pStyle w:val="BlockNumber"/>
        <w:numPr>
          <w:ilvl w:val="0"/>
          <w:numId w:val="0"/>
        </w:numPr>
        <w:ind w:left="1588"/>
        <w:rPr>
          <w:rFonts w:cs="Arial"/>
          <w:szCs w:val="20"/>
          <w:lang w:val="en-NZ"/>
        </w:rPr>
      </w:pPr>
    </w:p>
    <w:p w14:paraId="0B556CCF" w14:textId="77777777" w:rsidR="0005190F" w:rsidRPr="00032FAF" w:rsidRDefault="00ED5E8F" w:rsidP="004337B2">
      <w:pPr>
        <w:pStyle w:val="Heading1No"/>
        <w:rPr>
          <w:lang w:val="en-NZ"/>
        </w:rPr>
      </w:pPr>
      <w:bookmarkStart w:id="66" w:name="_Toc402862111"/>
      <w:bookmarkStart w:id="67" w:name="_Toc402967984"/>
      <w:bookmarkStart w:id="68" w:name="_Toc403128007"/>
      <w:bookmarkStart w:id="69" w:name="_Toc352741627"/>
      <w:bookmarkStart w:id="70" w:name="_Toc352763814"/>
      <w:bookmarkStart w:id="71" w:name="_Toc105753610"/>
      <w:bookmarkEnd w:id="66"/>
      <w:bookmarkEnd w:id="67"/>
      <w:bookmarkEnd w:id="68"/>
      <w:r w:rsidRPr="00032FAF">
        <w:rPr>
          <w:lang w:val="en-NZ"/>
        </w:rPr>
        <w:t xml:space="preserve">Information and Communications Technology </w:t>
      </w:r>
      <w:bookmarkEnd w:id="69"/>
      <w:bookmarkEnd w:id="70"/>
      <w:r w:rsidR="00947805" w:rsidRPr="00032FAF">
        <w:rPr>
          <w:lang w:val="en-NZ"/>
        </w:rPr>
        <w:t>Use</w:t>
      </w:r>
      <w:bookmarkEnd w:id="71"/>
    </w:p>
    <w:p w14:paraId="673C0096" w14:textId="4F9ECA97" w:rsidR="00736967" w:rsidRPr="0003653F" w:rsidRDefault="00D72A1B">
      <w:pPr>
        <w:pStyle w:val="BlockNumber"/>
        <w:ind w:left="1587" w:hanging="873"/>
        <w:rPr>
          <w:rFonts w:cs="Arial"/>
          <w:szCs w:val="20"/>
          <w:lang w:val="en-NZ"/>
        </w:rPr>
      </w:pPr>
      <w:r w:rsidRPr="0003653F">
        <w:rPr>
          <w:rFonts w:cs="Arial"/>
          <w:szCs w:val="20"/>
          <w:lang w:val="en-NZ"/>
        </w:rPr>
        <w:t xml:space="preserve">The use of </w:t>
      </w:r>
      <w:r w:rsidR="00893B2F">
        <w:rPr>
          <w:rFonts w:cs="Arial"/>
          <w:szCs w:val="20"/>
          <w:lang w:val="en-NZ"/>
        </w:rPr>
        <w:t>ATNZ</w:t>
      </w:r>
      <w:r w:rsidRPr="0003653F">
        <w:rPr>
          <w:rFonts w:cs="Arial"/>
          <w:szCs w:val="20"/>
          <w:lang w:val="en-NZ"/>
        </w:rPr>
        <w:t xml:space="preserve"> </w:t>
      </w:r>
      <w:r w:rsidR="00ED5E8F" w:rsidRPr="0003653F">
        <w:rPr>
          <w:rFonts w:cs="Arial"/>
          <w:szCs w:val="20"/>
          <w:lang w:val="en-NZ"/>
        </w:rPr>
        <w:t>information and communication</w:t>
      </w:r>
      <w:r w:rsidR="00F119EE" w:rsidRPr="0003653F">
        <w:rPr>
          <w:rFonts w:cs="Arial"/>
          <w:szCs w:val="20"/>
          <w:lang w:val="en-NZ"/>
        </w:rPr>
        <w:t xml:space="preserve"> technol</w:t>
      </w:r>
      <w:r w:rsidR="00262FE4" w:rsidRPr="0003653F">
        <w:rPr>
          <w:rFonts w:cs="Arial"/>
          <w:szCs w:val="20"/>
          <w:lang w:val="en-NZ"/>
        </w:rPr>
        <w:t>o</w:t>
      </w:r>
      <w:r w:rsidR="00F119EE" w:rsidRPr="0003653F">
        <w:rPr>
          <w:rFonts w:cs="Arial"/>
          <w:szCs w:val="20"/>
          <w:lang w:val="en-NZ"/>
        </w:rPr>
        <w:t>gy</w:t>
      </w:r>
      <w:r w:rsidR="00ED5E8F" w:rsidRPr="0003653F">
        <w:rPr>
          <w:rFonts w:cs="Arial"/>
          <w:szCs w:val="20"/>
          <w:lang w:val="en-NZ"/>
        </w:rPr>
        <w:t xml:space="preserve"> s</w:t>
      </w:r>
      <w:r w:rsidRPr="0003653F">
        <w:rPr>
          <w:rFonts w:cs="Arial"/>
          <w:szCs w:val="20"/>
          <w:lang w:val="en-NZ"/>
        </w:rPr>
        <w:t xml:space="preserve">ystems </w:t>
      </w:r>
      <w:r w:rsidR="00947805" w:rsidRPr="0003653F">
        <w:rPr>
          <w:rFonts w:cs="Arial"/>
          <w:szCs w:val="20"/>
          <w:lang w:val="en-NZ"/>
        </w:rPr>
        <w:t xml:space="preserve">are </w:t>
      </w:r>
      <w:r w:rsidRPr="0003653F">
        <w:rPr>
          <w:rFonts w:cs="Arial"/>
          <w:szCs w:val="20"/>
          <w:lang w:val="en-NZ"/>
        </w:rPr>
        <w:t xml:space="preserve">governed by </w:t>
      </w:r>
      <w:r w:rsidR="00947805" w:rsidRPr="0003653F">
        <w:rPr>
          <w:rFonts w:cs="Arial"/>
          <w:szCs w:val="20"/>
          <w:lang w:val="en-NZ"/>
        </w:rPr>
        <w:t xml:space="preserve">the </w:t>
      </w:r>
      <w:r w:rsidR="00893B2F">
        <w:rPr>
          <w:rFonts w:cs="Arial"/>
          <w:szCs w:val="20"/>
          <w:lang w:val="en-NZ"/>
        </w:rPr>
        <w:t>ATNZ</w:t>
      </w:r>
      <w:r w:rsidRPr="0003653F">
        <w:rPr>
          <w:rFonts w:cs="Arial"/>
          <w:szCs w:val="20"/>
          <w:lang w:val="en-NZ"/>
        </w:rPr>
        <w:t xml:space="preserve"> </w:t>
      </w:r>
      <w:r w:rsidR="00EE18F7" w:rsidRPr="0003653F">
        <w:rPr>
          <w:rFonts w:cs="Arial"/>
          <w:i/>
          <w:szCs w:val="20"/>
          <w:lang w:val="en-NZ"/>
        </w:rPr>
        <w:t>Computer User Regulations</w:t>
      </w:r>
      <w:r w:rsidR="00EE18F7" w:rsidRPr="0003653F">
        <w:rPr>
          <w:rFonts w:cs="Arial"/>
          <w:szCs w:val="20"/>
          <w:lang w:val="en-NZ"/>
        </w:rPr>
        <w:t xml:space="preserve"> and </w:t>
      </w:r>
      <w:r w:rsidR="00B45281" w:rsidRPr="0003653F">
        <w:rPr>
          <w:rFonts w:cs="Arial"/>
          <w:szCs w:val="20"/>
          <w:lang w:val="en-NZ"/>
        </w:rPr>
        <w:t xml:space="preserve">other </w:t>
      </w:r>
      <w:r w:rsidR="00EE18F7" w:rsidRPr="0003653F">
        <w:rPr>
          <w:rFonts w:cs="Arial"/>
          <w:szCs w:val="20"/>
          <w:lang w:val="en-NZ"/>
        </w:rPr>
        <w:t>Information Technology policies</w:t>
      </w:r>
      <w:r w:rsidRPr="0003653F">
        <w:rPr>
          <w:rFonts w:cs="Arial"/>
          <w:szCs w:val="20"/>
          <w:lang w:val="en-NZ"/>
        </w:rPr>
        <w:t>.</w:t>
      </w:r>
    </w:p>
    <w:p w14:paraId="03EF6DF6" w14:textId="0DF33794" w:rsidR="00455FD5" w:rsidRDefault="00455FD5">
      <w:pPr>
        <w:rPr>
          <w:rFonts w:ascii="Arial" w:hAnsi="Arial" w:cs="Arial"/>
          <w:sz w:val="20"/>
          <w:szCs w:val="20"/>
        </w:rPr>
      </w:pPr>
    </w:p>
    <w:p w14:paraId="46A7CF81" w14:textId="2ED05E2F" w:rsidR="00AC25A6" w:rsidRDefault="00AC25A6">
      <w:pPr>
        <w:rPr>
          <w:rFonts w:ascii="Arial" w:hAnsi="Arial" w:cs="Arial"/>
          <w:sz w:val="20"/>
          <w:szCs w:val="20"/>
        </w:rPr>
      </w:pPr>
    </w:p>
    <w:p w14:paraId="0AB9EE25" w14:textId="1B0506AF" w:rsidR="00AC25A6" w:rsidRDefault="00AC25A6">
      <w:pPr>
        <w:rPr>
          <w:rFonts w:ascii="Arial" w:hAnsi="Arial" w:cs="Arial"/>
          <w:sz w:val="20"/>
          <w:szCs w:val="20"/>
        </w:rPr>
      </w:pPr>
    </w:p>
    <w:p w14:paraId="2ADE1F2C" w14:textId="265EAC49" w:rsidR="00096E65" w:rsidRDefault="00096E65">
      <w:pPr>
        <w:rPr>
          <w:rFonts w:ascii="Arial" w:hAnsi="Arial" w:cs="Arial"/>
          <w:sz w:val="20"/>
          <w:szCs w:val="20"/>
        </w:rPr>
      </w:pPr>
    </w:p>
    <w:p w14:paraId="19042312" w14:textId="77777777" w:rsidR="00096E65" w:rsidRPr="0003653F" w:rsidRDefault="00096E65">
      <w:pPr>
        <w:rPr>
          <w:rFonts w:ascii="Arial" w:hAnsi="Arial" w:cs="Arial"/>
          <w:sz w:val="20"/>
          <w:szCs w:val="20"/>
        </w:rPr>
      </w:pPr>
    </w:p>
    <w:p w14:paraId="135A2653" w14:textId="77777777" w:rsidR="00455FD5" w:rsidRPr="0003653F" w:rsidRDefault="00455FD5">
      <w:pPr>
        <w:rPr>
          <w:rFonts w:ascii="Arial" w:hAnsi="Arial" w:cs="Arial"/>
          <w:sz w:val="20"/>
          <w:szCs w:val="20"/>
        </w:rPr>
      </w:pPr>
    </w:p>
    <w:p w14:paraId="047CFB39" w14:textId="28865BD8" w:rsidR="00780EE3" w:rsidRPr="00032FAF" w:rsidRDefault="00D72A1B" w:rsidP="004337B2">
      <w:pPr>
        <w:pStyle w:val="Heading1No"/>
        <w:rPr>
          <w:lang w:val="en-NZ"/>
        </w:rPr>
      </w:pPr>
      <w:bookmarkStart w:id="72" w:name="_Toc352741628"/>
      <w:bookmarkStart w:id="73" w:name="_Toc352763815"/>
      <w:bookmarkStart w:id="74" w:name="_Toc105753611"/>
      <w:r w:rsidRPr="00032FAF">
        <w:rPr>
          <w:lang w:val="en-NZ"/>
        </w:rPr>
        <w:t>Health</w:t>
      </w:r>
      <w:r w:rsidR="00345088">
        <w:rPr>
          <w:lang w:val="en-NZ"/>
        </w:rPr>
        <w:t xml:space="preserve">, </w:t>
      </w:r>
      <w:r w:rsidR="00345088" w:rsidRPr="004337B2">
        <w:t>Safety</w:t>
      </w:r>
      <w:r w:rsidR="00345088">
        <w:rPr>
          <w:lang w:val="en-NZ"/>
        </w:rPr>
        <w:t xml:space="preserve"> and Wellbeing</w:t>
      </w:r>
      <w:bookmarkEnd w:id="72"/>
      <w:bookmarkEnd w:id="73"/>
      <w:bookmarkEnd w:id="74"/>
    </w:p>
    <w:p w14:paraId="49BE6E9B" w14:textId="48D8C050" w:rsidR="0085699A" w:rsidRPr="0003653F" w:rsidRDefault="00893B2F" w:rsidP="00D25480">
      <w:pPr>
        <w:pStyle w:val="BlockNumber"/>
        <w:ind w:left="1587" w:hanging="873"/>
        <w:rPr>
          <w:rFonts w:cs="Arial"/>
          <w:szCs w:val="20"/>
          <w:lang w:val="en-NZ"/>
        </w:rPr>
      </w:pPr>
      <w:r>
        <w:rPr>
          <w:rFonts w:cs="Arial"/>
          <w:szCs w:val="20"/>
          <w:lang w:val="en-NZ"/>
        </w:rPr>
        <w:t>ATNZ</w:t>
      </w:r>
      <w:r w:rsidR="00D72A1B" w:rsidRPr="0003653F">
        <w:rPr>
          <w:rFonts w:cs="Arial"/>
          <w:szCs w:val="20"/>
          <w:lang w:val="en-NZ"/>
        </w:rPr>
        <w:t xml:space="preserve"> is </w:t>
      </w:r>
      <w:r w:rsidR="009374CB" w:rsidRPr="0003653F">
        <w:rPr>
          <w:rFonts w:cs="Arial"/>
          <w:szCs w:val="20"/>
          <w:lang w:val="en-NZ"/>
        </w:rPr>
        <w:t>committed</w:t>
      </w:r>
      <w:r w:rsidR="00D72A1B" w:rsidRPr="0003653F">
        <w:rPr>
          <w:rFonts w:cs="Arial"/>
          <w:szCs w:val="20"/>
          <w:lang w:val="en-NZ"/>
        </w:rPr>
        <w:t xml:space="preserve"> to providing and maintaining a healthy and safe environment for all staff, </w:t>
      </w:r>
      <w:r>
        <w:rPr>
          <w:rFonts w:cs="Arial"/>
          <w:szCs w:val="20"/>
          <w:lang w:val="en-NZ"/>
        </w:rPr>
        <w:t>learner</w:t>
      </w:r>
      <w:r w:rsidR="00D72A1B" w:rsidRPr="0003653F">
        <w:rPr>
          <w:rFonts w:cs="Arial"/>
          <w:szCs w:val="20"/>
          <w:lang w:val="en-NZ"/>
        </w:rPr>
        <w:t xml:space="preserve">s, contractors, and other visitors, in compliance with the Health and Safety </w:t>
      </w:r>
      <w:r w:rsidR="00FB3A63">
        <w:rPr>
          <w:rFonts w:cs="Arial"/>
          <w:szCs w:val="20"/>
          <w:lang w:val="en-NZ"/>
        </w:rPr>
        <w:t>at Work Act 2015</w:t>
      </w:r>
      <w:r w:rsidR="00345088">
        <w:rPr>
          <w:rFonts w:cs="Arial"/>
          <w:szCs w:val="20"/>
          <w:lang w:val="en-NZ"/>
        </w:rPr>
        <w:t xml:space="preserve"> and </w:t>
      </w:r>
      <w:r w:rsidR="00135052">
        <w:rPr>
          <w:rFonts w:cs="Arial"/>
          <w:szCs w:val="20"/>
          <w:lang w:val="en-NZ"/>
        </w:rPr>
        <w:t xml:space="preserve">the </w:t>
      </w:r>
      <w:r w:rsidR="00345088">
        <w:rPr>
          <w:rFonts w:cs="Arial"/>
          <w:szCs w:val="20"/>
          <w:lang w:val="en-NZ"/>
        </w:rPr>
        <w:t>obligations under NZQA’s Education (Pastoral Care of Tertiary and International Learners) Code of Practice 2021</w:t>
      </w:r>
      <w:r w:rsidR="00D72A1B" w:rsidRPr="0003653F">
        <w:rPr>
          <w:rFonts w:cs="Arial"/>
          <w:szCs w:val="20"/>
          <w:lang w:val="en-NZ"/>
        </w:rPr>
        <w:t>.</w:t>
      </w:r>
    </w:p>
    <w:p w14:paraId="54B0BA2C" w14:textId="77777777" w:rsidR="00345088" w:rsidRDefault="00D72A1B" w:rsidP="00D25480">
      <w:pPr>
        <w:pStyle w:val="BlockNumber"/>
        <w:ind w:left="1587" w:hanging="873"/>
        <w:rPr>
          <w:rFonts w:cs="Arial"/>
          <w:szCs w:val="20"/>
          <w:lang w:val="en-NZ"/>
        </w:rPr>
      </w:pPr>
      <w:r w:rsidRPr="0003653F">
        <w:rPr>
          <w:rFonts w:cs="Arial"/>
          <w:szCs w:val="20"/>
          <w:lang w:val="en-NZ"/>
        </w:rPr>
        <w:t xml:space="preserve">The creation and maintenance of a healthy and safe place to work and study is the shared responsibility of staff and </w:t>
      </w:r>
      <w:r w:rsidR="00893B2F">
        <w:rPr>
          <w:rFonts w:cs="Arial"/>
          <w:szCs w:val="20"/>
          <w:lang w:val="en-NZ"/>
        </w:rPr>
        <w:t>learner</w:t>
      </w:r>
      <w:r w:rsidRPr="0003653F">
        <w:rPr>
          <w:rFonts w:cs="Arial"/>
          <w:szCs w:val="20"/>
          <w:lang w:val="en-NZ"/>
        </w:rPr>
        <w:t>s.</w:t>
      </w:r>
      <w:r w:rsidR="00345088">
        <w:rPr>
          <w:rFonts w:cs="Arial"/>
          <w:szCs w:val="20"/>
          <w:lang w:val="en-NZ"/>
        </w:rPr>
        <w:t xml:space="preserve"> Where learning occurs in the workplace, the PCBU for that workplace also has shared responsibility for learners in that workplace.</w:t>
      </w:r>
    </w:p>
    <w:p w14:paraId="633ED5B2" w14:textId="2376739C" w:rsidR="0085699A" w:rsidRPr="0003653F" w:rsidRDefault="00893B2F" w:rsidP="00D25480">
      <w:pPr>
        <w:pStyle w:val="BlockNumber"/>
        <w:ind w:left="1587" w:hanging="873"/>
        <w:rPr>
          <w:rFonts w:cs="Arial"/>
          <w:szCs w:val="20"/>
          <w:lang w:val="en-NZ"/>
        </w:rPr>
      </w:pPr>
      <w:r>
        <w:rPr>
          <w:rFonts w:cs="Arial"/>
          <w:szCs w:val="20"/>
          <w:lang w:val="en-NZ"/>
        </w:rPr>
        <w:t>Learner</w:t>
      </w:r>
      <w:r w:rsidR="00D72A1B" w:rsidRPr="0003653F">
        <w:rPr>
          <w:rFonts w:cs="Arial"/>
          <w:szCs w:val="20"/>
          <w:lang w:val="en-NZ"/>
        </w:rPr>
        <w:t>s are expected to take responsibility for their own health</w:t>
      </w:r>
      <w:r w:rsidR="001421A6">
        <w:rPr>
          <w:rFonts w:cs="Arial"/>
          <w:szCs w:val="20"/>
          <w:lang w:val="en-NZ"/>
        </w:rPr>
        <w:t xml:space="preserve">, </w:t>
      </w:r>
      <w:proofErr w:type="gramStart"/>
      <w:r w:rsidR="00D72A1B" w:rsidRPr="0003653F">
        <w:rPr>
          <w:rFonts w:cs="Arial"/>
          <w:szCs w:val="20"/>
          <w:lang w:val="en-NZ"/>
        </w:rPr>
        <w:t>safety</w:t>
      </w:r>
      <w:proofErr w:type="gramEnd"/>
      <w:r w:rsidR="001421A6">
        <w:rPr>
          <w:rFonts w:cs="Arial"/>
          <w:szCs w:val="20"/>
          <w:lang w:val="en-NZ"/>
        </w:rPr>
        <w:t xml:space="preserve"> and wellbeing</w:t>
      </w:r>
      <w:r w:rsidR="00D72A1B" w:rsidRPr="0003653F">
        <w:rPr>
          <w:rFonts w:cs="Arial"/>
          <w:szCs w:val="20"/>
          <w:lang w:val="en-NZ"/>
        </w:rPr>
        <w:t xml:space="preserve">. </w:t>
      </w:r>
      <w:r>
        <w:rPr>
          <w:rFonts w:cs="Arial"/>
          <w:szCs w:val="20"/>
          <w:lang w:val="en-NZ"/>
        </w:rPr>
        <w:t>Learner</w:t>
      </w:r>
      <w:r w:rsidR="00D72A1B" w:rsidRPr="0003653F">
        <w:rPr>
          <w:rFonts w:cs="Arial"/>
          <w:szCs w:val="20"/>
          <w:lang w:val="en-NZ"/>
        </w:rPr>
        <w:t xml:space="preserve">s must act in a manner that does not </w:t>
      </w:r>
      <w:r w:rsidR="0085699A" w:rsidRPr="0003653F">
        <w:rPr>
          <w:rFonts w:cs="Arial"/>
          <w:szCs w:val="20"/>
          <w:lang w:val="en-NZ"/>
        </w:rPr>
        <w:t>jeopardise</w:t>
      </w:r>
      <w:r w:rsidR="00D72A1B" w:rsidRPr="0003653F">
        <w:rPr>
          <w:rFonts w:cs="Arial"/>
          <w:szCs w:val="20"/>
          <w:lang w:val="en-NZ"/>
        </w:rPr>
        <w:t xml:space="preserve"> their own safety or the safety of others. </w:t>
      </w:r>
    </w:p>
    <w:p w14:paraId="4D9A57EB" w14:textId="77777777" w:rsidR="00B428DD" w:rsidRPr="0003653F" w:rsidRDefault="00B428DD" w:rsidP="00B428DD">
      <w:pPr>
        <w:pStyle w:val="BlockNumber"/>
        <w:ind w:left="1587" w:hanging="873"/>
        <w:rPr>
          <w:rFonts w:cs="Arial"/>
          <w:szCs w:val="20"/>
          <w:lang w:val="en-NZ"/>
        </w:rPr>
      </w:pPr>
      <w:r>
        <w:rPr>
          <w:rFonts w:cs="Arial"/>
          <w:szCs w:val="20"/>
          <w:lang w:val="en-NZ"/>
        </w:rPr>
        <w:t>Learner</w:t>
      </w:r>
      <w:r w:rsidRPr="0003653F">
        <w:rPr>
          <w:rFonts w:cs="Arial"/>
          <w:szCs w:val="20"/>
          <w:lang w:val="en-NZ"/>
        </w:rPr>
        <w:t xml:space="preserve">s are expected to make themselves familiar with all </w:t>
      </w:r>
      <w:r>
        <w:rPr>
          <w:rFonts w:cs="Arial"/>
          <w:szCs w:val="20"/>
          <w:lang w:val="en-NZ"/>
        </w:rPr>
        <w:t>ATNZ</w:t>
      </w:r>
      <w:r w:rsidRPr="0003653F">
        <w:rPr>
          <w:rFonts w:cs="Arial"/>
          <w:szCs w:val="20"/>
          <w:lang w:val="en-NZ"/>
        </w:rPr>
        <w:t xml:space="preserve"> </w:t>
      </w:r>
      <w:r>
        <w:rPr>
          <w:rFonts w:cs="Arial"/>
          <w:szCs w:val="20"/>
          <w:lang w:val="en-NZ"/>
        </w:rPr>
        <w:t xml:space="preserve">and workplace </w:t>
      </w:r>
      <w:r w:rsidRPr="0003653F">
        <w:rPr>
          <w:rFonts w:cs="Arial"/>
          <w:szCs w:val="20"/>
          <w:lang w:val="en-NZ"/>
        </w:rPr>
        <w:t xml:space="preserve">health and safety policies and procedures, including any specific policies and procedures related to their area of study.  </w:t>
      </w:r>
    </w:p>
    <w:p w14:paraId="7C99095E" w14:textId="58255F82" w:rsidR="0085699A" w:rsidRPr="0003653F" w:rsidRDefault="00893B2F" w:rsidP="00D25480">
      <w:pPr>
        <w:pStyle w:val="BlockNumber"/>
        <w:ind w:left="1587" w:hanging="873"/>
        <w:rPr>
          <w:rFonts w:cs="Arial"/>
          <w:szCs w:val="20"/>
          <w:lang w:val="en-NZ"/>
        </w:rPr>
      </w:pPr>
      <w:r>
        <w:rPr>
          <w:rFonts w:cs="Arial"/>
          <w:szCs w:val="20"/>
          <w:lang w:val="en-NZ"/>
        </w:rPr>
        <w:t>Learner</w:t>
      </w:r>
      <w:r w:rsidR="00D72A1B" w:rsidRPr="0003653F">
        <w:rPr>
          <w:rFonts w:cs="Arial"/>
          <w:szCs w:val="20"/>
          <w:lang w:val="en-NZ"/>
        </w:rPr>
        <w:t xml:space="preserve">s must </w:t>
      </w:r>
      <w:proofErr w:type="gramStart"/>
      <w:r w:rsidR="00D72A1B" w:rsidRPr="0003653F">
        <w:rPr>
          <w:rFonts w:cs="Arial"/>
          <w:szCs w:val="20"/>
          <w:lang w:val="en-NZ"/>
        </w:rPr>
        <w:t xml:space="preserve">at all </w:t>
      </w:r>
      <w:r w:rsidR="00262FE4" w:rsidRPr="0003653F">
        <w:rPr>
          <w:rFonts w:cs="Arial"/>
          <w:szCs w:val="20"/>
          <w:lang w:val="en-NZ"/>
        </w:rPr>
        <w:t>time</w:t>
      </w:r>
      <w:r w:rsidR="00EC3A05" w:rsidRPr="0003653F">
        <w:rPr>
          <w:rFonts w:cs="Arial"/>
          <w:szCs w:val="20"/>
          <w:lang w:val="en-NZ"/>
        </w:rPr>
        <w:t>s</w:t>
      </w:r>
      <w:proofErr w:type="gramEnd"/>
      <w:r w:rsidR="00D72A1B" w:rsidRPr="0003653F">
        <w:rPr>
          <w:rFonts w:cs="Arial"/>
          <w:szCs w:val="20"/>
          <w:lang w:val="en-NZ"/>
        </w:rPr>
        <w:t xml:space="preserve"> follow </w:t>
      </w:r>
      <w:r>
        <w:rPr>
          <w:rFonts w:cs="Arial"/>
          <w:szCs w:val="20"/>
          <w:lang w:val="en-NZ"/>
        </w:rPr>
        <w:t>ATNZ</w:t>
      </w:r>
      <w:r w:rsidR="00D72A1B" w:rsidRPr="0003653F">
        <w:rPr>
          <w:rFonts w:cs="Arial"/>
          <w:szCs w:val="20"/>
          <w:lang w:val="en-NZ"/>
        </w:rPr>
        <w:t xml:space="preserve"> </w:t>
      </w:r>
      <w:r w:rsidR="00E91D50" w:rsidRPr="0003653F">
        <w:rPr>
          <w:rFonts w:cs="Arial"/>
          <w:szCs w:val="20"/>
          <w:lang w:val="en-NZ"/>
        </w:rPr>
        <w:t xml:space="preserve">health </w:t>
      </w:r>
      <w:r w:rsidR="00D72A1B" w:rsidRPr="0003653F">
        <w:rPr>
          <w:rFonts w:cs="Arial"/>
          <w:szCs w:val="20"/>
          <w:lang w:val="en-NZ"/>
        </w:rPr>
        <w:t xml:space="preserve">and </w:t>
      </w:r>
      <w:r w:rsidR="00E91D50" w:rsidRPr="0003653F">
        <w:rPr>
          <w:rFonts w:cs="Arial"/>
          <w:szCs w:val="20"/>
          <w:lang w:val="en-NZ"/>
        </w:rPr>
        <w:t>safety p</w:t>
      </w:r>
      <w:r w:rsidR="00992822" w:rsidRPr="0003653F">
        <w:rPr>
          <w:rFonts w:cs="Arial"/>
          <w:szCs w:val="20"/>
          <w:lang w:val="en-NZ"/>
        </w:rPr>
        <w:t>olic</w:t>
      </w:r>
      <w:r w:rsidR="00E91D50" w:rsidRPr="0003653F">
        <w:rPr>
          <w:rFonts w:cs="Arial"/>
          <w:szCs w:val="20"/>
          <w:lang w:val="en-NZ"/>
        </w:rPr>
        <w:t>ies</w:t>
      </w:r>
      <w:r w:rsidR="00D72A1B" w:rsidRPr="0003653F">
        <w:rPr>
          <w:rFonts w:cs="Arial"/>
          <w:szCs w:val="20"/>
          <w:lang w:val="en-NZ"/>
        </w:rPr>
        <w:t>, procedure</w:t>
      </w:r>
      <w:r w:rsidR="00992822" w:rsidRPr="0003653F">
        <w:rPr>
          <w:rFonts w:cs="Arial"/>
          <w:szCs w:val="20"/>
          <w:lang w:val="en-NZ"/>
        </w:rPr>
        <w:t>s</w:t>
      </w:r>
      <w:r w:rsidR="00D72A1B" w:rsidRPr="0003653F">
        <w:rPr>
          <w:rFonts w:cs="Arial"/>
          <w:szCs w:val="20"/>
          <w:lang w:val="en-NZ"/>
        </w:rPr>
        <w:t xml:space="preserve"> and safe work practices</w:t>
      </w:r>
      <w:r w:rsidR="00BF2652">
        <w:rPr>
          <w:rFonts w:cs="Arial"/>
          <w:szCs w:val="20"/>
          <w:lang w:val="en-NZ"/>
        </w:rPr>
        <w:t xml:space="preserve"> and those of any workplace in which they are undertaking learning</w:t>
      </w:r>
      <w:r w:rsidR="00D72A1B" w:rsidRPr="0003653F">
        <w:rPr>
          <w:rFonts w:cs="Arial"/>
          <w:szCs w:val="20"/>
          <w:lang w:val="en-NZ"/>
        </w:rPr>
        <w:t>.  This includes</w:t>
      </w:r>
      <w:r w:rsidR="009D6ADD" w:rsidRPr="0003653F">
        <w:rPr>
          <w:rFonts w:cs="Arial"/>
          <w:szCs w:val="20"/>
          <w:lang w:val="en-NZ"/>
        </w:rPr>
        <w:t>, but is not li</w:t>
      </w:r>
      <w:r w:rsidR="00631D1F" w:rsidRPr="0003653F">
        <w:rPr>
          <w:rFonts w:cs="Arial"/>
          <w:szCs w:val="20"/>
          <w:lang w:val="en-NZ"/>
        </w:rPr>
        <w:t>mited</w:t>
      </w:r>
      <w:r w:rsidR="009D6ADD" w:rsidRPr="0003653F">
        <w:rPr>
          <w:rFonts w:cs="Arial"/>
          <w:szCs w:val="20"/>
          <w:lang w:val="en-NZ"/>
        </w:rPr>
        <w:t xml:space="preserve"> to</w:t>
      </w:r>
      <w:r w:rsidR="00D72A1B" w:rsidRPr="0003653F">
        <w:rPr>
          <w:rFonts w:cs="Arial"/>
          <w:szCs w:val="20"/>
          <w:lang w:val="en-NZ"/>
        </w:rPr>
        <w:t>:</w:t>
      </w:r>
    </w:p>
    <w:p w14:paraId="16095715" w14:textId="3D27943B" w:rsidR="00736967" w:rsidRPr="0003653F" w:rsidRDefault="00D72A1B" w:rsidP="00566D87">
      <w:pPr>
        <w:pStyle w:val="BlockNumber"/>
        <w:numPr>
          <w:ilvl w:val="0"/>
          <w:numId w:val="17"/>
        </w:numPr>
        <w:ind w:left="2127"/>
      </w:pPr>
      <w:r w:rsidRPr="0003653F">
        <w:t xml:space="preserve">Complying with any safety instruction(s) given by </w:t>
      </w:r>
      <w:r w:rsidR="00893B2F">
        <w:t>ATNZ</w:t>
      </w:r>
      <w:r w:rsidRPr="0003653F">
        <w:t xml:space="preserve"> staff </w:t>
      </w:r>
      <w:proofErr w:type="gramStart"/>
      <w:r w:rsidRPr="0003653F">
        <w:t>members;</w:t>
      </w:r>
      <w:proofErr w:type="gramEnd"/>
    </w:p>
    <w:p w14:paraId="7F5E84E3" w14:textId="77777777" w:rsidR="00736967" w:rsidRPr="0003653F" w:rsidRDefault="00D72A1B" w:rsidP="00566D87">
      <w:pPr>
        <w:pStyle w:val="BlockText"/>
        <w:numPr>
          <w:ilvl w:val="0"/>
          <w:numId w:val="18"/>
        </w:numPr>
        <w:ind w:left="2127"/>
      </w:pPr>
      <w:r w:rsidRPr="0003653F">
        <w:t xml:space="preserve">Following agreed safe work practices such as wearing any personal protective equipment such as safety glasses, prescribed footwear and protective clothing in designated </w:t>
      </w:r>
      <w:proofErr w:type="gramStart"/>
      <w:r w:rsidRPr="0003653F">
        <w:t>areas;</w:t>
      </w:r>
      <w:proofErr w:type="gramEnd"/>
    </w:p>
    <w:p w14:paraId="681CE482" w14:textId="77777777" w:rsidR="00736967" w:rsidRPr="0003653F" w:rsidRDefault="00D72A1B" w:rsidP="00566D87">
      <w:pPr>
        <w:pStyle w:val="BlockText"/>
        <w:numPr>
          <w:ilvl w:val="0"/>
          <w:numId w:val="18"/>
        </w:numPr>
        <w:ind w:left="2127"/>
      </w:pPr>
      <w:r w:rsidRPr="0003653F">
        <w:t>Reporting to a staff member any incident that has led to an accident or a near miss; and</w:t>
      </w:r>
    </w:p>
    <w:p w14:paraId="37774CBB" w14:textId="505CA9B5" w:rsidR="00736967" w:rsidRPr="0003653F" w:rsidRDefault="00D72A1B" w:rsidP="00566D87">
      <w:pPr>
        <w:pStyle w:val="BlockText"/>
        <w:numPr>
          <w:ilvl w:val="0"/>
          <w:numId w:val="18"/>
        </w:numPr>
        <w:ind w:left="2127"/>
      </w:pPr>
      <w:r w:rsidRPr="0003653F">
        <w:t xml:space="preserve">Following </w:t>
      </w:r>
      <w:r w:rsidR="00893B2F">
        <w:t>ATNZ</w:t>
      </w:r>
      <w:r w:rsidRPr="0003653F">
        <w:t>’s evacuation procedures in the event of fire or other emergency (or any drills).</w:t>
      </w:r>
    </w:p>
    <w:p w14:paraId="5F513C2D" w14:textId="112D95B4" w:rsidR="00736967" w:rsidRDefault="00D72A1B" w:rsidP="00D25480">
      <w:pPr>
        <w:pStyle w:val="BlockNumber"/>
        <w:ind w:left="1587" w:hanging="873"/>
        <w:rPr>
          <w:rFonts w:cs="Arial"/>
          <w:szCs w:val="20"/>
          <w:lang w:val="en-NZ"/>
        </w:rPr>
      </w:pPr>
      <w:r w:rsidRPr="0003653F">
        <w:rPr>
          <w:rFonts w:cs="Arial"/>
          <w:szCs w:val="20"/>
          <w:lang w:val="en-NZ"/>
        </w:rPr>
        <w:t xml:space="preserve">Smoking is prohibited anywhere </w:t>
      </w:r>
      <w:r w:rsidR="00BF2652">
        <w:rPr>
          <w:rFonts w:cs="Arial"/>
          <w:szCs w:val="20"/>
          <w:lang w:val="en-NZ"/>
        </w:rPr>
        <w:t xml:space="preserve">in any </w:t>
      </w:r>
      <w:r w:rsidR="00893B2F">
        <w:rPr>
          <w:rFonts w:cs="Arial"/>
          <w:szCs w:val="20"/>
          <w:lang w:val="en-NZ"/>
        </w:rPr>
        <w:t>ATNZ</w:t>
      </w:r>
      <w:r w:rsidRPr="0003653F">
        <w:rPr>
          <w:rFonts w:cs="Arial"/>
          <w:szCs w:val="20"/>
          <w:lang w:val="en-NZ"/>
        </w:rPr>
        <w:t xml:space="preserve"> </w:t>
      </w:r>
      <w:r w:rsidR="00BF2652">
        <w:rPr>
          <w:rFonts w:cs="Arial"/>
          <w:szCs w:val="20"/>
          <w:lang w:val="en-NZ"/>
        </w:rPr>
        <w:t>facility</w:t>
      </w:r>
      <w:r w:rsidRPr="0003653F">
        <w:rPr>
          <w:rFonts w:cs="Arial"/>
          <w:szCs w:val="20"/>
          <w:lang w:val="en-NZ"/>
        </w:rPr>
        <w:t>.</w:t>
      </w:r>
    </w:p>
    <w:p w14:paraId="1CD4E6E5" w14:textId="06DFD8BE" w:rsidR="00BF2652" w:rsidRDefault="00BF2652" w:rsidP="00D25480">
      <w:pPr>
        <w:pStyle w:val="BlockNumber"/>
        <w:ind w:left="1587" w:hanging="873"/>
        <w:rPr>
          <w:rFonts w:cs="Arial"/>
          <w:szCs w:val="20"/>
          <w:lang w:val="en-NZ"/>
        </w:rPr>
      </w:pPr>
      <w:r>
        <w:rPr>
          <w:rFonts w:cs="Arial"/>
          <w:szCs w:val="20"/>
          <w:lang w:val="en-NZ"/>
        </w:rPr>
        <w:t>Learners must report incidents</w:t>
      </w:r>
      <w:r w:rsidR="008F16D6">
        <w:rPr>
          <w:rFonts w:cs="Arial"/>
          <w:szCs w:val="20"/>
          <w:lang w:val="en-NZ"/>
        </w:rPr>
        <w:t xml:space="preserve">, any risks that they identify and any concerns they have regarding their health, </w:t>
      </w:r>
      <w:proofErr w:type="gramStart"/>
      <w:r w:rsidR="008F16D6">
        <w:rPr>
          <w:rFonts w:cs="Arial"/>
          <w:szCs w:val="20"/>
          <w:lang w:val="en-NZ"/>
        </w:rPr>
        <w:t>safety</w:t>
      </w:r>
      <w:proofErr w:type="gramEnd"/>
      <w:r w:rsidR="008F16D6">
        <w:rPr>
          <w:rFonts w:cs="Arial"/>
          <w:szCs w:val="20"/>
          <w:lang w:val="en-NZ"/>
        </w:rPr>
        <w:t xml:space="preserve"> and wellbeing to ATNZ and to the workplace where any work-based learning is occurring. </w:t>
      </w:r>
      <w:r>
        <w:rPr>
          <w:rFonts w:cs="Arial"/>
          <w:szCs w:val="20"/>
          <w:lang w:val="en-NZ"/>
        </w:rPr>
        <w:t xml:space="preserve"> </w:t>
      </w:r>
    </w:p>
    <w:p w14:paraId="4A7E7186" w14:textId="30013852" w:rsidR="00124510" w:rsidRDefault="00124510">
      <w:pPr>
        <w:rPr>
          <w:rFonts w:ascii="Arial" w:eastAsia="Times New Roman" w:hAnsi="Arial" w:cs="Arial"/>
          <w:sz w:val="20"/>
          <w:szCs w:val="20"/>
          <w:lang w:eastAsia="en-US"/>
        </w:rPr>
      </w:pPr>
    </w:p>
    <w:p w14:paraId="2992D052" w14:textId="19F1B658" w:rsidR="00EE6B6C" w:rsidRDefault="00EE6B6C">
      <w:pPr>
        <w:rPr>
          <w:rFonts w:ascii="Arial" w:eastAsia="Times New Roman" w:hAnsi="Arial" w:cs="Arial"/>
          <w:sz w:val="20"/>
          <w:szCs w:val="20"/>
          <w:lang w:eastAsia="en-US"/>
        </w:rPr>
      </w:pPr>
    </w:p>
    <w:p w14:paraId="68ED0A95" w14:textId="68BBF44E" w:rsidR="00AC25A6" w:rsidRDefault="00AC25A6">
      <w:pPr>
        <w:rPr>
          <w:rFonts w:ascii="Arial" w:eastAsia="Times New Roman" w:hAnsi="Arial" w:cs="Arial"/>
          <w:sz w:val="20"/>
          <w:szCs w:val="20"/>
          <w:lang w:eastAsia="en-US"/>
        </w:rPr>
      </w:pPr>
    </w:p>
    <w:p w14:paraId="0D98500C" w14:textId="77777777" w:rsidR="00AC25A6" w:rsidRPr="0003653F" w:rsidRDefault="00AC25A6">
      <w:pPr>
        <w:rPr>
          <w:rFonts w:ascii="Arial" w:eastAsia="Times New Roman" w:hAnsi="Arial" w:cs="Arial"/>
          <w:sz w:val="20"/>
          <w:szCs w:val="20"/>
          <w:lang w:eastAsia="en-US"/>
        </w:rPr>
      </w:pPr>
    </w:p>
    <w:p w14:paraId="6FD60016" w14:textId="77777777" w:rsidR="00780EE3" w:rsidRPr="00032FAF" w:rsidRDefault="00D72A1B" w:rsidP="004337B2">
      <w:pPr>
        <w:pStyle w:val="Heading1No"/>
        <w:rPr>
          <w:lang w:val="en-NZ"/>
        </w:rPr>
      </w:pPr>
      <w:bookmarkStart w:id="75" w:name="_Ref221098615"/>
      <w:bookmarkStart w:id="76" w:name="_Toc352741629"/>
      <w:bookmarkStart w:id="77" w:name="_Toc352763816"/>
      <w:bookmarkStart w:id="78" w:name="_Toc105753612"/>
      <w:r w:rsidRPr="00032FAF">
        <w:rPr>
          <w:lang w:val="en-NZ"/>
        </w:rPr>
        <w:t>Dealing with Harassment</w:t>
      </w:r>
      <w:bookmarkEnd w:id="75"/>
      <w:bookmarkEnd w:id="76"/>
      <w:bookmarkEnd w:id="77"/>
      <w:r w:rsidR="00704048">
        <w:rPr>
          <w:lang w:val="en-NZ"/>
        </w:rPr>
        <w:t>, Bullying and Discrimination</w:t>
      </w:r>
      <w:bookmarkEnd w:id="78"/>
    </w:p>
    <w:p w14:paraId="7FCE4719" w14:textId="381940F3" w:rsidR="00980B05" w:rsidRPr="0003653F" w:rsidRDefault="00893B2F" w:rsidP="00D25480">
      <w:pPr>
        <w:pStyle w:val="BlockNumber"/>
        <w:ind w:left="1587" w:hanging="873"/>
        <w:rPr>
          <w:rFonts w:cs="Arial"/>
          <w:szCs w:val="20"/>
          <w:lang w:val="en-NZ"/>
        </w:rPr>
      </w:pPr>
      <w:r>
        <w:rPr>
          <w:rFonts w:cs="Arial"/>
          <w:szCs w:val="20"/>
          <w:lang w:val="en-NZ"/>
        </w:rPr>
        <w:t>ATNZ</w:t>
      </w:r>
      <w:r w:rsidR="00D72A1B" w:rsidRPr="0003653F">
        <w:rPr>
          <w:rFonts w:cs="Arial"/>
          <w:szCs w:val="20"/>
          <w:lang w:val="en-NZ"/>
        </w:rPr>
        <w:t xml:space="preserve"> is </w:t>
      </w:r>
      <w:r w:rsidR="00352D21" w:rsidRPr="0003653F">
        <w:rPr>
          <w:rFonts w:cs="Arial"/>
          <w:szCs w:val="20"/>
          <w:lang w:val="en-NZ"/>
        </w:rPr>
        <w:t>committed</w:t>
      </w:r>
      <w:r w:rsidR="00D72A1B" w:rsidRPr="0003653F">
        <w:rPr>
          <w:rFonts w:cs="Arial"/>
          <w:szCs w:val="20"/>
          <w:lang w:val="en-NZ"/>
        </w:rPr>
        <w:t xml:space="preserve"> to providing an environment free from sexual, </w:t>
      </w:r>
      <w:proofErr w:type="gramStart"/>
      <w:r w:rsidR="00D72A1B" w:rsidRPr="0003653F">
        <w:rPr>
          <w:rFonts w:cs="Arial"/>
          <w:szCs w:val="20"/>
          <w:lang w:val="en-NZ"/>
        </w:rPr>
        <w:t>racial</w:t>
      </w:r>
      <w:proofErr w:type="gramEnd"/>
      <w:r w:rsidR="00D72A1B" w:rsidRPr="0003653F">
        <w:rPr>
          <w:rFonts w:cs="Arial"/>
          <w:szCs w:val="20"/>
          <w:lang w:val="en-NZ"/>
        </w:rPr>
        <w:t xml:space="preserve"> and other forms of harassment. </w:t>
      </w:r>
      <w:r>
        <w:rPr>
          <w:rFonts w:cs="Arial"/>
          <w:szCs w:val="20"/>
          <w:lang w:val="en-NZ"/>
        </w:rPr>
        <w:t>ATNZ</w:t>
      </w:r>
      <w:r w:rsidR="00D72A1B" w:rsidRPr="0003653F">
        <w:rPr>
          <w:rFonts w:cs="Arial"/>
          <w:szCs w:val="20"/>
          <w:lang w:val="en-NZ"/>
        </w:rPr>
        <w:t xml:space="preserve"> </w:t>
      </w:r>
      <w:r w:rsidR="00B67CF9" w:rsidRPr="0003653F">
        <w:rPr>
          <w:rFonts w:cs="Arial"/>
          <w:szCs w:val="20"/>
          <w:lang w:val="en-NZ"/>
        </w:rPr>
        <w:t>shall</w:t>
      </w:r>
      <w:r w:rsidR="00D72A1B" w:rsidRPr="0003653F">
        <w:rPr>
          <w:rFonts w:cs="Arial"/>
          <w:szCs w:val="20"/>
          <w:lang w:val="en-NZ"/>
        </w:rPr>
        <w:t xml:space="preserve"> neither tolerate nor condone harassment of staff</w:t>
      </w:r>
      <w:r w:rsidR="00E91D50" w:rsidRPr="0003653F">
        <w:rPr>
          <w:rFonts w:cs="Arial"/>
          <w:szCs w:val="20"/>
          <w:lang w:val="en-NZ"/>
        </w:rPr>
        <w:t>,</w:t>
      </w:r>
      <w:r w:rsidR="00D72A1B" w:rsidRPr="0003653F">
        <w:rPr>
          <w:rFonts w:cs="Arial"/>
          <w:szCs w:val="20"/>
          <w:lang w:val="en-NZ"/>
        </w:rPr>
        <w:t xml:space="preserve"> </w:t>
      </w:r>
      <w:proofErr w:type="gramStart"/>
      <w:r>
        <w:rPr>
          <w:rFonts w:cs="Arial"/>
          <w:szCs w:val="20"/>
          <w:lang w:val="en-NZ"/>
        </w:rPr>
        <w:t>learner</w:t>
      </w:r>
      <w:r w:rsidR="00D72A1B" w:rsidRPr="0003653F">
        <w:rPr>
          <w:rFonts w:cs="Arial"/>
          <w:szCs w:val="20"/>
          <w:lang w:val="en-NZ"/>
        </w:rPr>
        <w:t>s</w:t>
      </w:r>
      <w:proofErr w:type="gramEnd"/>
      <w:r w:rsidR="00E91D50" w:rsidRPr="0003653F">
        <w:rPr>
          <w:rFonts w:cs="Arial"/>
          <w:szCs w:val="20"/>
          <w:lang w:val="en-NZ"/>
        </w:rPr>
        <w:t xml:space="preserve"> or members of the public</w:t>
      </w:r>
      <w:r w:rsidR="00D72A1B" w:rsidRPr="0003653F">
        <w:rPr>
          <w:rFonts w:cs="Arial"/>
          <w:szCs w:val="20"/>
          <w:lang w:val="en-NZ"/>
        </w:rPr>
        <w:t xml:space="preserve">.  </w:t>
      </w:r>
    </w:p>
    <w:p w14:paraId="278A74B5" w14:textId="75584C50" w:rsidR="001D04CF" w:rsidRPr="0003653F" w:rsidRDefault="00893B2F" w:rsidP="00D25480">
      <w:pPr>
        <w:pStyle w:val="BlockNumber"/>
        <w:ind w:left="1587" w:hanging="873"/>
        <w:rPr>
          <w:rFonts w:cs="Arial"/>
          <w:szCs w:val="20"/>
          <w:lang w:val="en-NZ"/>
        </w:rPr>
      </w:pPr>
      <w:r>
        <w:rPr>
          <w:rFonts w:cs="Arial"/>
          <w:szCs w:val="20"/>
          <w:lang w:val="en-NZ"/>
        </w:rPr>
        <w:t>Learner</w:t>
      </w:r>
      <w:r w:rsidR="00D72A1B" w:rsidRPr="0003653F">
        <w:rPr>
          <w:rFonts w:cs="Arial"/>
          <w:szCs w:val="20"/>
          <w:lang w:val="en-NZ"/>
        </w:rPr>
        <w:t xml:space="preserve">s must not harass other </w:t>
      </w:r>
      <w:r>
        <w:rPr>
          <w:rFonts w:cs="Arial"/>
          <w:szCs w:val="20"/>
          <w:lang w:val="en-NZ"/>
        </w:rPr>
        <w:t>learner</w:t>
      </w:r>
      <w:r w:rsidR="00D72A1B" w:rsidRPr="0003653F">
        <w:rPr>
          <w:rFonts w:cs="Arial"/>
          <w:szCs w:val="20"/>
          <w:lang w:val="en-NZ"/>
        </w:rPr>
        <w:t>s, staff</w:t>
      </w:r>
      <w:r w:rsidR="001421A6">
        <w:rPr>
          <w:rFonts w:cs="Arial"/>
          <w:szCs w:val="20"/>
          <w:lang w:val="en-NZ"/>
        </w:rPr>
        <w:t xml:space="preserve">, any person in a workplace where the learner is engaged in learning activities </w:t>
      </w:r>
      <w:r w:rsidR="00D72A1B" w:rsidRPr="0003653F">
        <w:rPr>
          <w:rFonts w:cs="Arial"/>
          <w:szCs w:val="20"/>
          <w:lang w:val="en-NZ"/>
        </w:rPr>
        <w:t xml:space="preserve">or any member of the public while engaged in </w:t>
      </w:r>
      <w:r>
        <w:rPr>
          <w:rFonts w:cs="Arial"/>
          <w:szCs w:val="20"/>
          <w:lang w:val="en-NZ"/>
        </w:rPr>
        <w:t>ATNZ</w:t>
      </w:r>
      <w:r w:rsidR="00D72A1B" w:rsidRPr="0003653F">
        <w:rPr>
          <w:rFonts w:cs="Arial"/>
          <w:szCs w:val="20"/>
          <w:lang w:val="en-NZ"/>
        </w:rPr>
        <w:t xml:space="preserve"> activity.</w:t>
      </w:r>
    </w:p>
    <w:p w14:paraId="05AC0984" w14:textId="7C0DE620" w:rsidR="008E07F1" w:rsidRDefault="00D72A1B" w:rsidP="00D25480">
      <w:pPr>
        <w:pStyle w:val="BlockNumber"/>
        <w:ind w:left="1587" w:hanging="873"/>
        <w:rPr>
          <w:rFonts w:cs="Arial"/>
          <w:szCs w:val="20"/>
          <w:lang w:val="en-NZ"/>
        </w:rPr>
      </w:pPr>
      <w:r w:rsidRPr="0003653F">
        <w:rPr>
          <w:rFonts w:cs="Arial"/>
          <w:szCs w:val="20"/>
          <w:lang w:val="en-NZ"/>
        </w:rPr>
        <w:t xml:space="preserve">Harassment </w:t>
      </w:r>
      <w:r w:rsidR="00B67CF9" w:rsidRPr="0003653F">
        <w:rPr>
          <w:rFonts w:cs="Arial"/>
          <w:szCs w:val="20"/>
          <w:lang w:val="en-NZ"/>
        </w:rPr>
        <w:t>shall</w:t>
      </w:r>
      <w:r w:rsidRPr="0003653F">
        <w:rPr>
          <w:rFonts w:cs="Arial"/>
          <w:szCs w:val="20"/>
          <w:lang w:val="en-NZ"/>
        </w:rPr>
        <w:t xml:space="preserve"> be dealt with in accordance with </w:t>
      </w:r>
      <w:r w:rsidR="00F528D9" w:rsidRPr="0003653F">
        <w:rPr>
          <w:rFonts w:cs="Arial"/>
          <w:szCs w:val="20"/>
          <w:lang w:val="en-NZ"/>
        </w:rPr>
        <w:t xml:space="preserve">the </w:t>
      </w:r>
      <w:r w:rsidR="00733DED">
        <w:rPr>
          <w:rFonts w:cs="Arial"/>
          <w:i/>
          <w:szCs w:val="20"/>
          <w:lang w:val="en-NZ"/>
        </w:rPr>
        <w:t>Bullying</w:t>
      </w:r>
      <w:r w:rsidR="005D6EF3">
        <w:rPr>
          <w:rFonts w:cs="Arial"/>
          <w:i/>
          <w:szCs w:val="20"/>
          <w:lang w:val="en-NZ"/>
        </w:rPr>
        <w:t>,</w:t>
      </w:r>
      <w:r w:rsidR="00733DED">
        <w:rPr>
          <w:rFonts w:cs="Arial"/>
          <w:i/>
          <w:szCs w:val="20"/>
          <w:lang w:val="en-NZ"/>
        </w:rPr>
        <w:t xml:space="preserve"> </w:t>
      </w:r>
      <w:r w:rsidR="005D6EF3" w:rsidRPr="0003653F">
        <w:rPr>
          <w:rFonts w:cs="Arial"/>
          <w:i/>
          <w:szCs w:val="20"/>
          <w:lang w:val="en-NZ"/>
        </w:rPr>
        <w:t>Harassment</w:t>
      </w:r>
      <w:r w:rsidR="005D6EF3">
        <w:rPr>
          <w:rFonts w:cs="Arial"/>
          <w:i/>
          <w:szCs w:val="20"/>
          <w:lang w:val="en-NZ"/>
        </w:rPr>
        <w:t xml:space="preserve"> </w:t>
      </w:r>
      <w:r w:rsidR="00733DED">
        <w:rPr>
          <w:rFonts w:cs="Arial"/>
          <w:i/>
          <w:szCs w:val="20"/>
          <w:lang w:val="en-NZ"/>
        </w:rPr>
        <w:t>and Disc</w:t>
      </w:r>
      <w:r w:rsidR="00775C04">
        <w:rPr>
          <w:rFonts w:cs="Arial"/>
          <w:i/>
          <w:szCs w:val="20"/>
          <w:lang w:val="en-NZ"/>
        </w:rPr>
        <w:t>r</w:t>
      </w:r>
      <w:r w:rsidR="00733DED">
        <w:rPr>
          <w:rFonts w:cs="Arial"/>
          <w:i/>
          <w:szCs w:val="20"/>
          <w:lang w:val="en-NZ"/>
        </w:rPr>
        <w:t>imination</w:t>
      </w:r>
      <w:r w:rsidRPr="0003653F">
        <w:rPr>
          <w:rFonts w:cs="Arial"/>
          <w:i/>
          <w:szCs w:val="20"/>
          <w:lang w:val="en-NZ"/>
        </w:rPr>
        <w:t xml:space="preserve"> Policy</w:t>
      </w:r>
      <w:r w:rsidRPr="0003653F">
        <w:rPr>
          <w:rFonts w:cs="Arial"/>
          <w:szCs w:val="20"/>
          <w:lang w:val="en-NZ"/>
        </w:rPr>
        <w:t>.</w:t>
      </w:r>
    </w:p>
    <w:p w14:paraId="3C425F39" w14:textId="77777777" w:rsidR="00AC25A6" w:rsidRPr="0003653F" w:rsidRDefault="00AC25A6" w:rsidP="00AC25A6">
      <w:pPr>
        <w:pStyle w:val="Heading2No"/>
        <w:numPr>
          <w:ilvl w:val="0"/>
          <w:numId w:val="0"/>
        </w:numPr>
        <w:ind w:left="510"/>
      </w:pPr>
    </w:p>
    <w:p w14:paraId="33F5C48D" w14:textId="77777777" w:rsidR="00C93B80" w:rsidRPr="0003653F" w:rsidRDefault="00C93B80">
      <w:pPr>
        <w:rPr>
          <w:rFonts w:ascii="Arial" w:eastAsia="Times New Roman" w:hAnsi="Arial" w:cs="Arial"/>
          <w:sz w:val="20"/>
          <w:szCs w:val="20"/>
          <w:lang w:eastAsia="en-US"/>
        </w:rPr>
      </w:pPr>
    </w:p>
    <w:p w14:paraId="76822684" w14:textId="5886E1F9" w:rsidR="00780EE3" w:rsidRPr="00032FAF" w:rsidRDefault="00D626F8" w:rsidP="004337B2">
      <w:pPr>
        <w:pStyle w:val="Heading1No"/>
        <w:rPr>
          <w:lang w:val="en-NZ"/>
        </w:rPr>
      </w:pPr>
      <w:bookmarkStart w:id="79" w:name="_Toc352741630"/>
      <w:bookmarkStart w:id="80" w:name="_Toc352763817"/>
      <w:bookmarkStart w:id="81" w:name="_Toc105753613"/>
      <w:r w:rsidRPr="004337B2">
        <w:t>Concerns</w:t>
      </w:r>
      <w:r w:rsidR="009D6E27">
        <w:rPr>
          <w:lang w:val="en-NZ"/>
        </w:rPr>
        <w:t xml:space="preserve">, </w:t>
      </w:r>
      <w:r w:rsidR="00D72A1B" w:rsidRPr="00032FAF">
        <w:rPr>
          <w:lang w:val="en-NZ"/>
        </w:rPr>
        <w:t>Complaint</w:t>
      </w:r>
      <w:r w:rsidR="00D25480" w:rsidRPr="00032FAF">
        <w:rPr>
          <w:lang w:val="en-NZ"/>
        </w:rPr>
        <w:t>s</w:t>
      </w:r>
      <w:r w:rsidR="009D6E27">
        <w:rPr>
          <w:lang w:val="en-NZ"/>
        </w:rPr>
        <w:t xml:space="preserve"> and Disputes</w:t>
      </w:r>
      <w:r w:rsidR="00D72A1B" w:rsidRPr="00032FAF">
        <w:rPr>
          <w:lang w:val="en-NZ"/>
        </w:rPr>
        <w:t xml:space="preserve"> Resolution</w:t>
      </w:r>
      <w:bookmarkEnd w:id="79"/>
      <w:bookmarkEnd w:id="80"/>
      <w:bookmarkEnd w:id="81"/>
    </w:p>
    <w:p w14:paraId="7A0C9939" w14:textId="77777777" w:rsidR="00A01AA3" w:rsidRPr="00032FAF" w:rsidRDefault="00A01AA3" w:rsidP="00A01AA3">
      <w:pPr>
        <w:pStyle w:val="Heading2No"/>
        <w:spacing w:before="320"/>
        <w:rPr>
          <w:rFonts w:cs="Arial"/>
          <w:szCs w:val="20"/>
          <w:lang w:val="en-NZ"/>
        </w:rPr>
      </w:pPr>
      <w:r w:rsidRPr="00032FAF">
        <w:rPr>
          <w:rFonts w:cs="Arial"/>
          <w:szCs w:val="20"/>
          <w:lang w:val="en-NZ"/>
        </w:rPr>
        <w:t>General</w:t>
      </w:r>
    </w:p>
    <w:p w14:paraId="505F28E6" w14:textId="4660523E" w:rsidR="00757E50" w:rsidRPr="0003653F" w:rsidRDefault="00893B2F" w:rsidP="00D25480">
      <w:pPr>
        <w:pStyle w:val="BlockNumber"/>
        <w:ind w:left="1587" w:hanging="873"/>
        <w:rPr>
          <w:rFonts w:cs="Arial"/>
          <w:szCs w:val="20"/>
          <w:lang w:val="en-NZ"/>
        </w:rPr>
      </w:pPr>
      <w:r>
        <w:rPr>
          <w:rFonts w:cs="Arial"/>
          <w:szCs w:val="20"/>
          <w:lang w:val="en-NZ"/>
        </w:rPr>
        <w:t>ATNZ</w:t>
      </w:r>
      <w:r w:rsidR="00D72A1B" w:rsidRPr="0003653F">
        <w:rPr>
          <w:rFonts w:cs="Arial"/>
          <w:szCs w:val="20"/>
          <w:lang w:val="en-NZ"/>
        </w:rPr>
        <w:t xml:space="preserve"> </w:t>
      </w:r>
      <w:r w:rsidR="004D38C9" w:rsidRPr="0003653F">
        <w:rPr>
          <w:rFonts w:cs="Arial"/>
          <w:szCs w:val="20"/>
          <w:lang w:val="en-NZ"/>
        </w:rPr>
        <w:t xml:space="preserve">is </w:t>
      </w:r>
      <w:r w:rsidR="00352D21" w:rsidRPr="0003653F">
        <w:rPr>
          <w:rFonts w:cs="Arial"/>
          <w:szCs w:val="20"/>
          <w:lang w:val="en-NZ"/>
        </w:rPr>
        <w:t xml:space="preserve">committed </w:t>
      </w:r>
      <w:r w:rsidR="004D38C9" w:rsidRPr="0003653F">
        <w:rPr>
          <w:rFonts w:cs="Arial"/>
          <w:szCs w:val="20"/>
          <w:lang w:val="en-NZ"/>
        </w:rPr>
        <w:t xml:space="preserve">to providing </w:t>
      </w:r>
      <w:r>
        <w:rPr>
          <w:rFonts w:cs="Arial"/>
          <w:szCs w:val="20"/>
          <w:lang w:val="en-NZ"/>
        </w:rPr>
        <w:t>learner</w:t>
      </w:r>
      <w:r w:rsidR="00D72A1B" w:rsidRPr="0003653F">
        <w:rPr>
          <w:rFonts w:cs="Arial"/>
          <w:szCs w:val="20"/>
          <w:lang w:val="en-NZ"/>
        </w:rPr>
        <w:t xml:space="preserve">s </w:t>
      </w:r>
      <w:r w:rsidR="004D38C9" w:rsidRPr="0003653F">
        <w:rPr>
          <w:rFonts w:cs="Arial"/>
          <w:szCs w:val="20"/>
          <w:lang w:val="en-NZ"/>
        </w:rPr>
        <w:t xml:space="preserve">with </w:t>
      </w:r>
      <w:r w:rsidR="00D72A1B" w:rsidRPr="0003653F">
        <w:rPr>
          <w:rFonts w:cs="Arial"/>
          <w:szCs w:val="20"/>
          <w:lang w:val="en-NZ"/>
        </w:rPr>
        <w:t xml:space="preserve">access to fair, </w:t>
      </w:r>
      <w:proofErr w:type="gramStart"/>
      <w:r w:rsidR="00D72A1B" w:rsidRPr="0003653F">
        <w:rPr>
          <w:rFonts w:cs="Arial"/>
          <w:szCs w:val="20"/>
          <w:lang w:val="en-NZ"/>
        </w:rPr>
        <w:t>effective</w:t>
      </w:r>
      <w:proofErr w:type="gramEnd"/>
      <w:r w:rsidR="00D72A1B" w:rsidRPr="0003653F">
        <w:rPr>
          <w:rFonts w:cs="Arial"/>
          <w:szCs w:val="20"/>
          <w:lang w:val="en-NZ"/>
        </w:rPr>
        <w:t xml:space="preserve"> and culturally appropriate procedures for resolving complaints</w:t>
      </w:r>
      <w:r w:rsidR="00AB71D8" w:rsidRPr="0003653F">
        <w:rPr>
          <w:rFonts w:cs="Arial"/>
          <w:szCs w:val="20"/>
          <w:lang w:val="en-NZ"/>
        </w:rPr>
        <w:t xml:space="preserve"> and making comments</w:t>
      </w:r>
      <w:r w:rsidR="00D72A1B" w:rsidRPr="0003653F">
        <w:rPr>
          <w:rFonts w:cs="Arial"/>
          <w:szCs w:val="20"/>
          <w:lang w:val="en-NZ"/>
        </w:rPr>
        <w:t xml:space="preserve">.  </w:t>
      </w:r>
    </w:p>
    <w:p w14:paraId="6DB0EFDF" w14:textId="26966EC6" w:rsidR="00757E50" w:rsidRPr="0003653F" w:rsidRDefault="00893B2F" w:rsidP="00D25480">
      <w:pPr>
        <w:pStyle w:val="BlockNumber"/>
        <w:ind w:left="1587" w:hanging="873"/>
        <w:rPr>
          <w:rFonts w:cs="Arial"/>
          <w:szCs w:val="20"/>
          <w:lang w:val="en-NZ"/>
        </w:rPr>
      </w:pPr>
      <w:r>
        <w:rPr>
          <w:rFonts w:cs="Arial"/>
          <w:szCs w:val="20"/>
          <w:lang w:val="en-NZ"/>
        </w:rPr>
        <w:t>ATNZ</w:t>
      </w:r>
      <w:r w:rsidR="00D72A1B" w:rsidRPr="0003653F">
        <w:rPr>
          <w:rFonts w:cs="Arial"/>
          <w:szCs w:val="20"/>
          <w:lang w:val="en-NZ"/>
        </w:rPr>
        <w:t xml:space="preserve"> expects staff and </w:t>
      </w:r>
      <w:r>
        <w:rPr>
          <w:rFonts w:cs="Arial"/>
          <w:szCs w:val="20"/>
          <w:lang w:val="en-NZ"/>
        </w:rPr>
        <w:t>learner</w:t>
      </w:r>
      <w:r w:rsidR="00D72A1B" w:rsidRPr="0003653F">
        <w:rPr>
          <w:rFonts w:cs="Arial"/>
          <w:szCs w:val="20"/>
          <w:lang w:val="en-NZ"/>
        </w:rPr>
        <w:t xml:space="preserve">s to work together to resolve problems </w:t>
      </w:r>
      <w:proofErr w:type="gramStart"/>
      <w:r w:rsidR="00D72A1B" w:rsidRPr="0003653F">
        <w:rPr>
          <w:rFonts w:cs="Arial"/>
          <w:szCs w:val="20"/>
          <w:lang w:val="en-NZ"/>
        </w:rPr>
        <w:t>directly</w:t>
      </w:r>
      <w:proofErr w:type="gramEnd"/>
      <w:r w:rsidR="00D72A1B" w:rsidRPr="0003653F">
        <w:rPr>
          <w:rFonts w:cs="Arial"/>
          <w:szCs w:val="20"/>
          <w:lang w:val="en-NZ"/>
        </w:rPr>
        <w:t xml:space="preserve"> if possible</w:t>
      </w:r>
      <w:r w:rsidR="000C3328" w:rsidRPr="0003653F">
        <w:rPr>
          <w:rFonts w:cs="Arial"/>
          <w:szCs w:val="20"/>
          <w:lang w:val="en-NZ"/>
        </w:rPr>
        <w:t>,</w:t>
      </w:r>
      <w:r w:rsidR="00E91D50" w:rsidRPr="0003653F">
        <w:rPr>
          <w:rFonts w:cs="Arial"/>
          <w:szCs w:val="20"/>
          <w:lang w:val="en-NZ"/>
        </w:rPr>
        <w:t xml:space="preserve"> but </w:t>
      </w:r>
      <w:r w:rsidR="00D72A1B" w:rsidRPr="0003653F">
        <w:rPr>
          <w:rFonts w:cs="Arial"/>
          <w:szCs w:val="20"/>
          <w:lang w:val="en-NZ"/>
        </w:rPr>
        <w:t>recognises that this may not always be achievable</w:t>
      </w:r>
      <w:r w:rsidR="00E91D50" w:rsidRPr="0003653F">
        <w:rPr>
          <w:rFonts w:cs="Arial"/>
          <w:szCs w:val="20"/>
          <w:lang w:val="en-NZ"/>
        </w:rPr>
        <w:t xml:space="preserve">.  </w:t>
      </w:r>
      <w:r>
        <w:rPr>
          <w:rFonts w:cs="Arial"/>
          <w:szCs w:val="20"/>
          <w:lang w:val="en-NZ"/>
        </w:rPr>
        <w:t>ATNZ</w:t>
      </w:r>
      <w:r w:rsidR="00CC59F2" w:rsidRPr="0003653F">
        <w:rPr>
          <w:rFonts w:cs="Arial"/>
          <w:szCs w:val="20"/>
          <w:lang w:val="en-NZ"/>
        </w:rPr>
        <w:t xml:space="preserve"> </w:t>
      </w:r>
      <w:r w:rsidR="00D72A1B" w:rsidRPr="0003653F">
        <w:rPr>
          <w:rFonts w:cs="Arial"/>
          <w:szCs w:val="20"/>
          <w:lang w:val="en-NZ"/>
        </w:rPr>
        <w:t xml:space="preserve">will listen to and work to resolve </w:t>
      </w:r>
      <w:r w:rsidR="00D626F8">
        <w:rPr>
          <w:rFonts w:cs="Arial"/>
          <w:szCs w:val="20"/>
          <w:lang w:val="en-NZ"/>
        </w:rPr>
        <w:t xml:space="preserve">concerns and </w:t>
      </w:r>
      <w:r w:rsidR="00E91D50" w:rsidRPr="0003653F">
        <w:rPr>
          <w:rFonts w:cs="Arial"/>
          <w:szCs w:val="20"/>
          <w:lang w:val="en-NZ"/>
        </w:rPr>
        <w:t xml:space="preserve">complaints </w:t>
      </w:r>
      <w:r w:rsidR="00D72A1B" w:rsidRPr="0003653F">
        <w:rPr>
          <w:rFonts w:cs="Arial"/>
          <w:szCs w:val="20"/>
          <w:lang w:val="en-NZ"/>
        </w:rPr>
        <w:t xml:space="preserve">promptly in a fair and professional manner, </w:t>
      </w:r>
      <w:r w:rsidR="00E91D50" w:rsidRPr="0003653F">
        <w:rPr>
          <w:rFonts w:cs="Arial"/>
          <w:szCs w:val="20"/>
          <w:lang w:val="en-NZ"/>
        </w:rPr>
        <w:t xml:space="preserve">and </w:t>
      </w:r>
      <w:r w:rsidR="00D72A1B" w:rsidRPr="0003653F">
        <w:rPr>
          <w:rFonts w:cs="Arial"/>
          <w:szCs w:val="20"/>
          <w:lang w:val="en-NZ"/>
        </w:rPr>
        <w:t>in accordance with the principles of natural justice.</w:t>
      </w:r>
    </w:p>
    <w:p w14:paraId="37EF2291" w14:textId="68FD3D55" w:rsidR="00757E50" w:rsidRDefault="00D72A1B" w:rsidP="00D25480">
      <w:pPr>
        <w:pStyle w:val="BlockNumber"/>
        <w:ind w:left="1587" w:hanging="873"/>
        <w:rPr>
          <w:rFonts w:cs="Arial"/>
          <w:szCs w:val="20"/>
          <w:lang w:val="en-NZ"/>
        </w:rPr>
      </w:pPr>
      <w:r w:rsidRPr="0003653F">
        <w:rPr>
          <w:rFonts w:cs="Arial"/>
          <w:szCs w:val="20"/>
          <w:lang w:val="en-NZ"/>
        </w:rPr>
        <w:t xml:space="preserve">Complaints shall be dealt with in accordance with </w:t>
      </w:r>
      <w:r w:rsidR="00332AF2" w:rsidRPr="00332AF2">
        <w:rPr>
          <w:rFonts w:cs="Arial"/>
          <w:i/>
          <w:iCs/>
          <w:szCs w:val="20"/>
          <w:lang w:val="en-NZ"/>
        </w:rPr>
        <w:t xml:space="preserve">C1 </w:t>
      </w:r>
      <w:r w:rsidR="00D626F8" w:rsidRPr="00412114">
        <w:rPr>
          <w:rFonts w:cs="Arial"/>
          <w:i/>
          <w:szCs w:val="20"/>
          <w:lang w:val="en-NZ"/>
        </w:rPr>
        <w:t>Concerns</w:t>
      </w:r>
      <w:r w:rsidR="00C22616">
        <w:rPr>
          <w:rFonts w:cs="Arial"/>
          <w:i/>
          <w:szCs w:val="20"/>
          <w:lang w:val="en-NZ"/>
        </w:rPr>
        <w:t xml:space="preserve"> and </w:t>
      </w:r>
      <w:r w:rsidRPr="00412114">
        <w:rPr>
          <w:rFonts w:cs="Arial"/>
          <w:i/>
          <w:szCs w:val="20"/>
          <w:lang w:val="en-NZ"/>
        </w:rPr>
        <w:t>Complaints</w:t>
      </w:r>
      <w:r w:rsidRPr="0003653F">
        <w:rPr>
          <w:rFonts w:cs="Arial"/>
          <w:i/>
          <w:szCs w:val="20"/>
          <w:lang w:val="en-NZ"/>
        </w:rPr>
        <w:t xml:space="preserve"> Policy</w:t>
      </w:r>
      <w:r w:rsidR="00766BF9" w:rsidRPr="0003653F">
        <w:rPr>
          <w:rFonts w:cs="Arial"/>
          <w:szCs w:val="20"/>
          <w:lang w:val="en-NZ"/>
        </w:rPr>
        <w:t>.</w:t>
      </w:r>
    </w:p>
    <w:p w14:paraId="6C0DE585" w14:textId="21E7C398" w:rsidR="00B14D6A" w:rsidRPr="00274BF4" w:rsidRDefault="00B14D6A" w:rsidP="00D25480">
      <w:pPr>
        <w:pStyle w:val="BlockNumber"/>
        <w:ind w:left="1587" w:hanging="873"/>
        <w:rPr>
          <w:rStyle w:val="Hyperlink"/>
          <w:rFonts w:ascii="Arial" w:hAnsi="Arial" w:cs="Arial"/>
          <w:color w:val="000000" w:themeColor="text1"/>
          <w:szCs w:val="20"/>
          <w:u w:val="none"/>
          <w:lang w:val="en-NZ"/>
        </w:rPr>
      </w:pPr>
      <w:r>
        <w:rPr>
          <w:rFonts w:cs="Arial"/>
          <w:szCs w:val="20"/>
          <w:lang w:val="en-NZ"/>
        </w:rPr>
        <w:t xml:space="preserve">A </w:t>
      </w:r>
      <w:r w:rsidR="00893B2F">
        <w:rPr>
          <w:rFonts w:cs="Arial"/>
          <w:szCs w:val="20"/>
          <w:lang w:val="en-NZ"/>
        </w:rPr>
        <w:t>learner</w:t>
      </w:r>
      <w:r>
        <w:rPr>
          <w:rFonts w:cs="Arial"/>
          <w:szCs w:val="20"/>
          <w:lang w:val="en-NZ"/>
        </w:rPr>
        <w:t xml:space="preserve"> may </w:t>
      </w:r>
      <w:r>
        <w:rPr>
          <w:rFonts w:cs="Arial"/>
          <w:color w:val="auto"/>
          <w:szCs w:val="20"/>
        </w:rPr>
        <w:t xml:space="preserve">progress a complaint to NZQA where they have been unable to resolve a complaint to their satisfaction under the </w:t>
      </w:r>
      <w:r w:rsidR="00893B2F">
        <w:rPr>
          <w:rFonts w:cs="Arial"/>
          <w:color w:val="auto"/>
          <w:szCs w:val="20"/>
        </w:rPr>
        <w:t>ATNZ</w:t>
      </w:r>
      <w:r>
        <w:rPr>
          <w:rFonts w:cs="Arial"/>
          <w:color w:val="auto"/>
          <w:szCs w:val="20"/>
        </w:rPr>
        <w:t xml:space="preserve"> complaint resolution process.</w:t>
      </w:r>
      <w:r w:rsidRPr="00B14D6A">
        <w:rPr>
          <w:rFonts w:cs="Arial"/>
          <w:color w:val="auto"/>
          <w:szCs w:val="20"/>
        </w:rPr>
        <w:t xml:space="preserve"> </w:t>
      </w:r>
      <w:hyperlink r:id="rId14" w:history="1">
        <w:r w:rsidRPr="00B77FBB">
          <w:rPr>
            <w:rStyle w:val="Hyperlink"/>
            <w:rFonts w:ascii="Arial" w:hAnsi="Arial" w:cs="Arial"/>
            <w:szCs w:val="20"/>
          </w:rPr>
          <w:t>http://www.nzqa.govt.nz/about-us/make-a-complaint/</w:t>
        </w:r>
      </w:hyperlink>
      <w:r w:rsidR="003A61E4">
        <w:rPr>
          <w:rStyle w:val="Hyperlink"/>
          <w:rFonts w:ascii="Arial" w:hAnsi="Arial" w:cs="Arial"/>
          <w:szCs w:val="20"/>
        </w:rPr>
        <w:t>.</w:t>
      </w:r>
    </w:p>
    <w:p w14:paraId="53477390" w14:textId="01084A6F" w:rsidR="00274BF4" w:rsidRDefault="00274BF4" w:rsidP="00D25480">
      <w:pPr>
        <w:pStyle w:val="BlockNumber"/>
        <w:ind w:left="1587" w:hanging="873"/>
        <w:rPr>
          <w:rFonts w:cs="Arial"/>
          <w:szCs w:val="20"/>
          <w:lang w:val="en-NZ"/>
        </w:rPr>
      </w:pPr>
      <w:r>
        <w:rPr>
          <w:rFonts w:cs="Arial"/>
          <w:szCs w:val="20"/>
          <w:lang w:val="en-NZ"/>
        </w:rPr>
        <w:t>A register of Complaints will be maintained and reviewed by the ATNZ Leadership Group at least monthly.</w:t>
      </w:r>
    </w:p>
    <w:p w14:paraId="43B901DF" w14:textId="479D851B" w:rsidR="00274BF4" w:rsidRPr="009D6E27" w:rsidRDefault="002F5198" w:rsidP="00D25480">
      <w:pPr>
        <w:pStyle w:val="BlockNumber"/>
        <w:ind w:left="1587" w:hanging="873"/>
        <w:rPr>
          <w:rStyle w:val="Hyperlink"/>
          <w:rFonts w:ascii="Arial" w:hAnsi="Arial" w:cs="Arial"/>
          <w:color w:val="000000" w:themeColor="text1"/>
          <w:szCs w:val="20"/>
          <w:u w:val="none"/>
          <w:lang w:val="en-NZ"/>
        </w:rPr>
      </w:pPr>
      <w:r>
        <w:rPr>
          <w:rFonts w:cs="Arial"/>
          <w:szCs w:val="20"/>
          <w:lang w:val="en-NZ"/>
        </w:rPr>
        <w:t xml:space="preserve">An annual report </w:t>
      </w:r>
      <w:r w:rsidR="00332AF2">
        <w:rPr>
          <w:rFonts w:cs="Arial"/>
          <w:szCs w:val="20"/>
          <w:lang w:val="en-NZ"/>
        </w:rPr>
        <w:t xml:space="preserve">of Complaints </w:t>
      </w:r>
      <w:r w:rsidR="008C44A4">
        <w:rPr>
          <w:rFonts w:cs="Arial"/>
          <w:szCs w:val="20"/>
          <w:lang w:val="en-NZ"/>
        </w:rPr>
        <w:t xml:space="preserve">will be provided to the Board and made available on the website </w:t>
      </w:r>
      <w:r w:rsidR="004916BB">
        <w:rPr>
          <w:rFonts w:cs="Arial"/>
          <w:szCs w:val="20"/>
          <w:lang w:val="en-NZ"/>
        </w:rPr>
        <w:t>that provides statistics and summarised data on any complaints received.</w:t>
      </w:r>
      <w:r w:rsidR="008C44A4">
        <w:rPr>
          <w:rFonts w:cs="Arial"/>
          <w:szCs w:val="20"/>
          <w:lang w:val="en-NZ"/>
        </w:rPr>
        <w:t xml:space="preserve"> </w:t>
      </w:r>
    </w:p>
    <w:p w14:paraId="66BBBBCF" w14:textId="6BB4B458" w:rsidR="009D6E27" w:rsidRDefault="00F1201A" w:rsidP="00D25480">
      <w:pPr>
        <w:pStyle w:val="BlockNumber"/>
        <w:ind w:left="1587" w:hanging="873"/>
        <w:rPr>
          <w:rFonts w:cs="Arial"/>
          <w:szCs w:val="20"/>
          <w:lang w:val="en-NZ"/>
        </w:rPr>
      </w:pPr>
      <w:r>
        <w:rPr>
          <w:rFonts w:cs="Arial"/>
          <w:szCs w:val="20"/>
          <w:lang w:val="en-NZ"/>
        </w:rPr>
        <w:t xml:space="preserve">An independent body and process has been established by the government to assist you </w:t>
      </w:r>
      <w:r w:rsidR="00676C47">
        <w:rPr>
          <w:rFonts w:cs="Arial"/>
          <w:szCs w:val="20"/>
          <w:lang w:val="en-NZ"/>
        </w:rPr>
        <w:t xml:space="preserve">to </w:t>
      </w:r>
      <w:r>
        <w:rPr>
          <w:rFonts w:cs="Arial"/>
          <w:szCs w:val="20"/>
          <w:lang w:val="en-NZ"/>
        </w:rPr>
        <w:t>resolv</w:t>
      </w:r>
      <w:r w:rsidR="00676C47">
        <w:rPr>
          <w:rFonts w:cs="Arial"/>
          <w:szCs w:val="20"/>
          <w:lang w:val="en-NZ"/>
        </w:rPr>
        <w:t xml:space="preserve">e and dispute </w:t>
      </w:r>
      <w:r w:rsidR="00A64358">
        <w:rPr>
          <w:rFonts w:cs="Arial"/>
          <w:szCs w:val="20"/>
          <w:lang w:val="en-NZ"/>
        </w:rPr>
        <w:t xml:space="preserve">any contractual or financial issue </w:t>
      </w:r>
      <w:r w:rsidR="00676C47">
        <w:rPr>
          <w:rFonts w:cs="Arial"/>
          <w:szCs w:val="20"/>
          <w:lang w:val="en-NZ"/>
        </w:rPr>
        <w:t>you may have with ATNZ</w:t>
      </w:r>
      <w:r w:rsidR="00D2049F">
        <w:rPr>
          <w:rFonts w:cs="Arial"/>
          <w:szCs w:val="20"/>
          <w:lang w:val="en-NZ"/>
        </w:rPr>
        <w:t xml:space="preserve"> and where you have been unable to resolve this working directly with us. </w:t>
      </w:r>
      <w:r w:rsidR="00532B6B">
        <w:rPr>
          <w:rFonts w:cs="Arial"/>
          <w:szCs w:val="20"/>
          <w:lang w:val="en-NZ"/>
        </w:rPr>
        <w:t xml:space="preserve">This service is available to you </w:t>
      </w:r>
      <w:r w:rsidR="00D2049F">
        <w:rPr>
          <w:rFonts w:cs="Arial"/>
          <w:szCs w:val="20"/>
          <w:lang w:val="en-NZ"/>
        </w:rPr>
        <w:t>at</w:t>
      </w:r>
      <w:r>
        <w:rPr>
          <w:rFonts w:cs="Arial"/>
          <w:szCs w:val="20"/>
          <w:lang w:val="en-NZ"/>
        </w:rPr>
        <w:t xml:space="preserve"> </w:t>
      </w:r>
      <w:hyperlink r:id="rId15" w:history="1">
        <w:r w:rsidR="009F77B6" w:rsidRPr="000808D6">
          <w:rPr>
            <w:rStyle w:val="Hyperlink"/>
            <w:rFonts w:ascii="Arial" w:hAnsi="Arial" w:cs="Arial"/>
            <w:szCs w:val="20"/>
            <w:lang w:val="en-NZ"/>
          </w:rPr>
          <w:t>https://tedr.org.nz</w:t>
        </w:r>
      </w:hyperlink>
      <w:r w:rsidR="009F77B6">
        <w:rPr>
          <w:rFonts w:cs="Arial"/>
          <w:szCs w:val="20"/>
          <w:lang w:val="en-NZ"/>
        </w:rPr>
        <w:t>.</w:t>
      </w:r>
    </w:p>
    <w:p w14:paraId="0E7784D0" w14:textId="62D1DD46" w:rsidR="004916BB" w:rsidRDefault="00DD0A16" w:rsidP="00D25480">
      <w:pPr>
        <w:pStyle w:val="BlockNumber"/>
        <w:ind w:left="1587" w:hanging="873"/>
        <w:rPr>
          <w:rFonts w:cs="Arial"/>
          <w:szCs w:val="20"/>
          <w:lang w:val="en-NZ"/>
        </w:rPr>
      </w:pPr>
      <w:r>
        <w:rPr>
          <w:rFonts w:cs="Arial"/>
          <w:szCs w:val="20"/>
          <w:lang w:val="en-NZ"/>
        </w:rPr>
        <w:t xml:space="preserve">Complaints may also be escalated to the Human Rights Commission </w:t>
      </w:r>
      <w:hyperlink r:id="rId16" w:history="1">
        <w:r w:rsidR="00395024" w:rsidRPr="00846162">
          <w:rPr>
            <w:rStyle w:val="Hyperlink"/>
            <w:rFonts w:ascii="Arial" w:hAnsi="Arial" w:cs="Arial"/>
            <w:szCs w:val="20"/>
            <w:lang w:val="en-NZ"/>
          </w:rPr>
          <w:t>https://www.hrc.co.nz/complaint-form/</w:t>
        </w:r>
      </w:hyperlink>
      <w:r w:rsidR="00395024">
        <w:rPr>
          <w:rFonts w:cs="Arial"/>
          <w:szCs w:val="20"/>
          <w:lang w:val="en-NZ"/>
        </w:rPr>
        <w:t xml:space="preserve"> where you believe that you have been subject to discrimination</w:t>
      </w:r>
      <w:r w:rsidR="00972133">
        <w:rPr>
          <w:rFonts w:cs="Arial"/>
          <w:szCs w:val="20"/>
          <w:lang w:val="en-NZ"/>
        </w:rPr>
        <w:t>.</w:t>
      </w:r>
      <w:r w:rsidR="00395024">
        <w:rPr>
          <w:rFonts w:cs="Arial"/>
          <w:szCs w:val="20"/>
          <w:lang w:val="en-NZ"/>
        </w:rPr>
        <w:t xml:space="preserve"> </w:t>
      </w:r>
    </w:p>
    <w:p w14:paraId="33F1900A" w14:textId="77777777" w:rsidR="00EB1425" w:rsidRDefault="00EB1425" w:rsidP="00395024">
      <w:pPr>
        <w:pStyle w:val="BlockNumber"/>
        <w:numPr>
          <w:ilvl w:val="0"/>
          <w:numId w:val="0"/>
        </w:numPr>
        <w:ind w:left="1587"/>
        <w:rPr>
          <w:rFonts w:cs="Arial"/>
          <w:szCs w:val="20"/>
          <w:lang w:val="en-NZ"/>
        </w:rPr>
      </w:pPr>
    </w:p>
    <w:p w14:paraId="04627F8C" w14:textId="77777777" w:rsidR="0044590B" w:rsidRDefault="0044590B">
      <w:pPr>
        <w:pStyle w:val="Bullet1"/>
        <w:numPr>
          <w:ilvl w:val="0"/>
          <w:numId w:val="0"/>
        </w:numPr>
        <w:ind w:left="1494" w:hanging="360"/>
        <w:rPr>
          <w:rFonts w:cs="Arial"/>
          <w:lang w:val="en-NZ"/>
        </w:rPr>
      </w:pPr>
    </w:p>
    <w:p w14:paraId="51C3C8A5" w14:textId="77777777" w:rsidR="00736967" w:rsidRPr="0003152D" w:rsidRDefault="00D72A1B" w:rsidP="00D44C90">
      <w:pPr>
        <w:pStyle w:val="Heading1No"/>
        <w:ind w:left="567" w:hanging="567"/>
      </w:pPr>
      <w:bookmarkStart w:id="82" w:name="_Toc347317844"/>
      <w:bookmarkStart w:id="83" w:name="_Toc347317939"/>
      <w:bookmarkStart w:id="84" w:name="_Toc347317845"/>
      <w:bookmarkStart w:id="85" w:name="_Toc347317940"/>
      <w:bookmarkStart w:id="86" w:name="_Toc322675211"/>
      <w:bookmarkStart w:id="87" w:name="_Ref221093402"/>
      <w:bookmarkStart w:id="88" w:name="_Ref221093448"/>
      <w:bookmarkStart w:id="89" w:name="_Toc352741631"/>
      <w:bookmarkStart w:id="90" w:name="_Toc352763818"/>
      <w:bookmarkStart w:id="91" w:name="_Toc105753614"/>
      <w:bookmarkEnd w:id="82"/>
      <w:bookmarkEnd w:id="83"/>
      <w:bookmarkEnd w:id="84"/>
      <w:bookmarkEnd w:id="85"/>
      <w:r w:rsidRPr="004337B2">
        <w:t>Appeals</w:t>
      </w:r>
      <w:bookmarkEnd w:id="86"/>
      <w:bookmarkEnd w:id="87"/>
      <w:bookmarkEnd w:id="88"/>
      <w:bookmarkEnd w:id="89"/>
      <w:bookmarkEnd w:id="90"/>
      <w:bookmarkEnd w:id="91"/>
    </w:p>
    <w:p w14:paraId="5EF530EA" w14:textId="77777777" w:rsidR="00736967" w:rsidRPr="00032FAF" w:rsidRDefault="00D72A1B" w:rsidP="00835C2A">
      <w:pPr>
        <w:pStyle w:val="Heading2No"/>
        <w:spacing w:before="320"/>
        <w:rPr>
          <w:rFonts w:cs="Arial"/>
          <w:szCs w:val="20"/>
          <w:lang w:val="en-NZ"/>
        </w:rPr>
      </w:pPr>
      <w:r w:rsidRPr="00032FAF">
        <w:rPr>
          <w:rFonts w:cs="Arial"/>
          <w:szCs w:val="20"/>
          <w:lang w:val="en-NZ"/>
        </w:rPr>
        <w:t>General</w:t>
      </w:r>
    </w:p>
    <w:p w14:paraId="7F626C14" w14:textId="0DE3DDCF" w:rsidR="00736967" w:rsidRPr="0003653F" w:rsidRDefault="00D72A1B" w:rsidP="00D25480">
      <w:pPr>
        <w:pStyle w:val="BlockNumber"/>
        <w:ind w:left="1587" w:hanging="873"/>
        <w:rPr>
          <w:rFonts w:cs="Arial"/>
          <w:szCs w:val="20"/>
          <w:lang w:val="en-NZ"/>
        </w:rPr>
      </w:pPr>
      <w:r w:rsidRPr="0003653F">
        <w:rPr>
          <w:rFonts w:cs="Arial"/>
          <w:szCs w:val="20"/>
          <w:lang w:val="en-NZ"/>
        </w:rPr>
        <w:t>This s</w:t>
      </w:r>
      <w:r w:rsidR="00AB71D8" w:rsidRPr="0003653F">
        <w:rPr>
          <w:rFonts w:cs="Arial"/>
          <w:szCs w:val="20"/>
          <w:lang w:val="en-NZ"/>
        </w:rPr>
        <w:t xml:space="preserve">ection deals with </w:t>
      </w:r>
      <w:r w:rsidR="00893B2F">
        <w:rPr>
          <w:rFonts w:cs="Arial"/>
          <w:szCs w:val="20"/>
          <w:lang w:val="en-NZ"/>
        </w:rPr>
        <w:t>learner</w:t>
      </w:r>
      <w:r w:rsidRPr="0003653F">
        <w:rPr>
          <w:rFonts w:cs="Arial"/>
          <w:szCs w:val="20"/>
          <w:lang w:val="en-NZ"/>
        </w:rPr>
        <w:t xml:space="preserve"> appeals in respect of the administration of the </w:t>
      </w:r>
      <w:r w:rsidR="00893B2F">
        <w:rPr>
          <w:rFonts w:cs="Arial"/>
          <w:i/>
          <w:szCs w:val="20"/>
          <w:lang w:val="en-NZ"/>
        </w:rPr>
        <w:t>Learner</w:t>
      </w:r>
      <w:r w:rsidRPr="0003653F">
        <w:rPr>
          <w:rFonts w:cs="Arial"/>
          <w:i/>
          <w:szCs w:val="20"/>
          <w:lang w:val="en-NZ"/>
        </w:rPr>
        <w:t xml:space="preserve"> Regulations</w:t>
      </w:r>
      <w:r w:rsidRPr="0003653F">
        <w:rPr>
          <w:rFonts w:cs="Arial"/>
          <w:szCs w:val="20"/>
          <w:lang w:val="en-NZ"/>
        </w:rPr>
        <w:t xml:space="preserve">, or the running of any </w:t>
      </w:r>
      <w:r w:rsidR="00E5068A" w:rsidRPr="0003653F">
        <w:rPr>
          <w:rFonts w:cs="Arial"/>
          <w:szCs w:val="20"/>
          <w:lang w:val="en-NZ"/>
        </w:rPr>
        <w:t>programme</w:t>
      </w:r>
      <w:r w:rsidR="00B428DD">
        <w:rPr>
          <w:rFonts w:cs="Arial"/>
          <w:szCs w:val="20"/>
          <w:lang w:val="en-NZ"/>
        </w:rPr>
        <w:t xml:space="preserve"> </w:t>
      </w:r>
      <w:r w:rsidR="00E5068A" w:rsidRPr="0003653F">
        <w:rPr>
          <w:rFonts w:cs="Arial"/>
          <w:szCs w:val="20"/>
          <w:lang w:val="en-NZ"/>
        </w:rPr>
        <w:t>or course</w:t>
      </w:r>
      <w:r w:rsidRPr="0003653F">
        <w:rPr>
          <w:rFonts w:cs="Arial"/>
          <w:szCs w:val="20"/>
          <w:lang w:val="en-NZ"/>
        </w:rPr>
        <w:t xml:space="preserve">. </w:t>
      </w:r>
      <w:r w:rsidR="00376BE0">
        <w:rPr>
          <w:rFonts w:cs="Arial"/>
          <w:szCs w:val="20"/>
          <w:lang w:val="en-NZ"/>
        </w:rPr>
        <w:t>It applies to misconduct</w:t>
      </w:r>
      <w:r w:rsidR="00613231">
        <w:rPr>
          <w:rFonts w:cs="Arial"/>
          <w:szCs w:val="20"/>
          <w:lang w:val="en-NZ"/>
        </w:rPr>
        <w:t>.</w:t>
      </w:r>
    </w:p>
    <w:p w14:paraId="7DD92AC1" w14:textId="4DB7666E" w:rsidR="00736967" w:rsidRPr="0003653F" w:rsidRDefault="00893B2F" w:rsidP="00D25480">
      <w:pPr>
        <w:pStyle w:val="BlockNumber"/>
        <w:ind w:left="1587" w:hanging="873"/>
        <w:rPr>
          <w:rFonts w:cs="Arial"/>
          <w:szCs w:val="20"/>
          <w:lang w:val="en-NZ"/>
        </w:rPr>
      </w:pPr>
      <w:r>
        <w:rPr>
          <w:rFonts w:cs="Arial"/>
          <w:szCs w:val="20"/>
          <w:lang w:val="en-NZ"/>
        </w:rPr>
        <w:t>Learner</w:t>
      </w:r>
      <w:r w:rsidR="0081733D" w:rsidRPr="0003653F">
        <w:rPr>
          <w:rFonts w:cs="Arial"/>
          <w:szCs w:val="20"/>
          <w:lang w:val="en-NZ"/>
        </w:rPr>
        <w:t>s</w:t>
      </w:r>
      <w:r w:rsidR="00D72A1B" w:rsidRPr="0003653F">
        <w:rPr>
          <w:rFonts w:cs="Arial"/>
          <w:szCs w:val="20"/>
          <w:lang w:val="en-NZ"/>
        </w:rPr>
        <w:t xml:space="preserve"> who believe that they have been unjustly treated by any decision, </w:t>
      </w:r>
      <w:proofErr w:type="gramStart"/>
      <w:r w:rsidR="00D72A1B" w:rsidRPr="0003653F">
        <w:rPr>
          <w:rFonts w:cs="Arial"/>
          <w:szCs w:val="20"/>
          <w:lang w:val="en-NZ"/>
        </w:rPr>
        <w:t>action</w:t>
      </w:r>
      <w:proofErr w:type="gramEnd"/>
      <w:r w:rsidR="00D72A1B" w:rsidRPr="0003653F">
        <w:rPr>
          <w:rFonts w:cs="Arial"/>
          <w:szCs w:val="20"/>
          <w:lang w:val="en-NZ"/>
        </w:rPr>
        <w:t xml:space="preserve"> or omission in respect of the administration of the </w:t>
      </w:r>
      <w:r>
        <w:rPr>
          <w:rFonts w:cs="Arial"/>
          <w:i/>
          <w:szCs w:val="20"/>
          <w:lang w:val="en-NZ"/>
        </w:rPr>
        <w:t>Learner</w:t>
      </w:r>
      <w:r w:rsidR="00D72A1B" w:rsidRPr="0003653F">
        <w:rPr>
          <w:rFonts w:cs="Arial"/>
          <w:i/>
          <w:szCs w:val="20"/>
          <w:lang w:val="en-NZ"/>
        </w:rPr>
        <w:t xml:space="preserve"> Regulations</w:t>
      </w:r>
      <w:r w:rsidR="009A4E32" w:rsidRPr="0003653F">
        <w:rPr>
          <w:rFonts w:cs="Arial"/>
          <w:szCs w:val="20"/>
          <w:lang w:val="en-NZ"/>
        </w:rPr>
        <w:t>,</w:t>
      </w:r>
      <w:r w:rsidR="00D72A1B" w:rsidRPr="0003653F">
        <w:rPr>
          <w:rFonts w:cs="Arial"/>
          <w:szCs w:val="20"/>
          <w:lang w:val="en-NZ"/>
        </w:rPr>
        <w:t xml:space="preserve"> or of the running of any programme</w:t>
      </w:r>
      <w:r w:rsidR="008F16D6">
        <w:rPr>
          <w:rFonts w:cs="Arial"/>
          <w:szCs w:val="20"/>
          <w:lang w:val="en-NZ"/>
        </w:rPr>
        <w:t xml:space="preserve"> </w:t>
      </w:r>
      <w:r w:rsidR="00E5068A" w:rsidRPr="0003653F">
        <w:rPr>
          <w:rFonts w:cs="Arial"/>
          <w:szCs w:val="20"/>
          <w:lang w:val="en-NZ"/>
        </w:rPr>
        <w:t>or course</w:t>
      </w:r>
      <w:r w:rsidR="00D72A1B" w:rsidRPr="0003653F">
        <w:rPr>
          <w:rFonts w:cs="Arial"/>
          <w:szCs w:val="20"/>
          <w:lang w:val="en-NZ"/>
        </w:rPr>
        <w:t xml:space="preserve"> may app</w:t>
      </w:r>
      <w:r w:rsidR="007B555E">
        <w:rPr>
          <w:rFonts w:cs="Arial"/>
          <w:szCs w:val="20"/>
          <w:lang w:val="en-NZ"/>
        </w:rPr>
        <w:t>eal</w:t>
      </w:r>
      <w:r w:rsidR="00D72A1B" w:rsidRPr="0003653F">
        <w:rPr>
          <w:rFonts w:cs="Arial"/>
          <w:szCs w:val="20"/>
          <w:lang w:val="en-NZ"/>
        </w:rPr>
        <w:t xml:space="preserve"> in writing to the </w:t>
      </w:r>
      <w:r w:rsidR="008F16D6">
        <w:rPr>
          <w:rFonts w:cs="Arial"/>
          <w:szCs w:val="20"/>
          <w:lang w:val="en-NZ"/>
        </w:rPr>
        <w:t xml:space="preserve">PTE Manager by email. </w:t>
      </w:r>
    </w:p>
    <w:p w14:paraId="0F4A391C" w14:textId="3A14609E" w:rsidR="00736967" w:rsidRPr="0003653F" w:rsidRDefault="00D72A1B" w:rsidP="00D25480">
      <w:pPr>
        <w:pStyle w:val="BlockNumber"/>
        <w:ind w:left="1587" w:hanging="873"/>
        <w:rPr>
          <w:rFonts w:cs="Arial"/>
          <w:szCs w:val="20"/>
          <w:lang w:val="en-NZ"/>
        </w:rPr>
      </w:pPr>
      <w:r w:rsidRPr="0003653F">
        <w:rPr>
          <w:rFonts w:cs="Arial"/>
          <w:szCs w:val="20"/>
          <w:lang w:val="en-NZ"/>
        </w:rPr>
        <w:t xml:space="preserve">Appeals </w:t>
      </w:r>
      <w:r w:rsidR="00A24CFA" w:rsidRPr="0003653F">
        <w:rPr>
          <w:rFonts w:cs="Arial"/>
          <w:szCs w:val="20"/>
          <w:lang w:val="en-NZ"/>
        </w:rPr>
        <w:t>shall</w:t>
      </w:r>
      <w:r w:rsidR="00AA1F85" w:rsidRPr="0003653F">
        <w:rPr>
          <w:rFonts w:cs="Arial"/>
          <w:szCs w:val="20"/>
          <w:lang w:val="en-NZ"/>
        </w:rPr>
        <w:t xml:space="preserve"> only be valid where</w:t>
      </w:r>
      <w:r w:rsidRPr="0003653F">
        <w:rPr>
          <w:rFonts w:cs="Arial"/>
          <w:szCs w:val="20"/>
          <w:lang w:val="en-NZ"/>
        </w:rPr>
        <w:t xml:space="preserve"> </w:t>
      </w:r>
      <w:r w:rsidR="00C2152C" w:rsidRPr="0003653F">
        <w:rPr>
          <w:rFonts w:cs="Arial"/>
          <w:szCs w:val="20"/>
          <w:lang w:val="en-NZ"/>
        </w:rPr>
        <w:t xml:space="preserve">a </w:t>
      </w:r>
      <w:r w:rsidRPr="0003653F">
        <w:rPr>
          <w:rFonts w:cs="Arial"/>
          <w:szCs w:val="20"/>
          <w:lang w:val="en-NZ"/>
        </w:rPr>
        <w:t xml:space="preserve">written application is </w:t>
      </w:r>
      <w:r w:rsidR="0081733D" w:rsidRPr="0003653F">
        <w:rPr>
          <w:rFonts w:cs="Arial"/>
          <w:szCs w:val="20"/>
          <w:lang w:val="en-NZ"/>
        </w:rPr>
        <w:t>received</w:t>
      </w:r>
      <w:r w:rsidR="00C2152C" w:rsidRPr="0003653F">
        <w:rPr>
          <w:rFonts w:cs="Arial"/>
          <w:szCs w:val="20"/>
          <w:lang w:val="en-NZ"/>
        </w:rPr>
        <w:t xml:space="preserve"> by</w:t>
      </w:r>
      <w:r w:rsidR="00E91D50" w:rsidRPr="0003653F">
        <w:rPr>
          <w:rFonts w:cs="Arial"/>
          <w:szCs w:val="20"/>
          <w:lang w:val="en-NZ"/>
        </w:rPr>
        <w:t xml:space="preserve"> </w:t>
      </w:r>
      <w:r w:rsidR="00C2152C" w:rsidRPr="0003653F">
        <w:rPr>
          <w:rFonts w:cs="Arial"/>
          <w:szCs w:val="20"/>
          <w:lang w:val="en-NZ"/>
        </w:rPr>
        <w:t xml:space="preserve">the </w:t>
      </w:r>
      <w:r w:rsidR="008F16D6">
        <w:rPr>
          <w:rFonts w:cs="Arial"/>
          <w:szCs w:val="20"/>
          <w:lang w:val="en-NZ"/>
        </w:rPr>
        <w:t xml:space="preserve">PTE Manager </w:t>
      </w:r>
      <w:r w:rsidRPr="0003653F">
        <w:rPr>
          <w:rFonts w:cs="Arial"/>
          <w:szCs w:val="20"/>
          <w:lang w:val="en-NZ"/>
        </w:rPr>
        <w:t xml:space="preserve">within ten working days of the date of the action or omission </w:t>
      </w:r>
      <w:r w:rsidR="006E061B" w:rsidRPr="0003653F">
        <w:rPr>
          <w:rFonts w:cs="Arial"/>
          <w:szCs w:val="20"/>
          <w:lang w:val="en-NZ"/>
        </w:rPr>
        <w:t>giving rise to the appeal</w:t>
      </w:r>
      <w:r w:rsidR="00FF5061">
        <w:rPr>
          <w:rFonts w:cs="Arial"/>
          <w:szCs w:val="20"/>
          <w:lang w:val="en-NZ"/>
        </w:rPr>
        <w:t xml:space="preserve"> or an earlier appeal that has been heard</w:t>
      </w:r>
      <w:r w:rsidRPr="0003653F">
        <w:rPr>
          <w:rFonts w:cs="Arial"/>
          <w:szCs w:val="20"/>
          <w:lang w:val="en-NZ"/>
        </w:rPr>
        <w:t>.</w:t>
      </w:r>
    </w:p>
    <w:p w14:paraId="2D7D988D" w14:textId="77777777" w:rsidR="00736967" w:rsidRPr="00032FAF" w:rsidRDefault="00D72A1B" w:rsidP="00D44C90">
      <w:pPr>
        <w:pStyle w:val="Heading2No"/>
        <w:tabs>
          <w:tab w:val="clear" w:pos="510"/>
          <w:tab w:val="clear" w:pos="680"/>
        </w:tabs>
        <w:spacing w:before="320"/>
        <w:ind w:left="567"/>
        <w:jc w:val="both"/>
        <w:rPr>
          <w:rFonts w:cs="Arial"/>
          <w:szCs w:val="20"/>
          <w:lang w:val="en-NZ"/>
        </w:rPr>
      </w:pPr>
      <w:r w:rsidRPr="00032FAF">
        <w:rPr>
          <w:rFonts w:cs="Arial"/>
          <w:szCs w:val="20"/>
          <w:lang w:val="en-NZ"/>
        </w:rPr>
        <w:t>Appeal Process</w:t>
      </w:r>
    </w:p>
    <w:p w14:paraId="46522799" w14:textId="1BE4DCC1" w:rsidR="00376BE0" w:rsidRPr="00376BE0" w:rsidRDefault="00D72A1B" w:rsidP="004375D1">
      <w:pPr>
        <w:pStyle w:val="BlockNumber"/>
        <w:spacing w:after="60"/>
        <w:ind w:left="1587" w:hanging="873"/>
      </w:pPr>
      <w:r w:rsidRPr="00376BE0">
        <w:rPr>
          <w:rFonts w:cs="Arial"/>
          <w:szCs w:val="20"/>
          <w:lang w:val="en-NZ"/>
        </w:rPr>
        <w:lastRenderedPageBreak/>
        <w:t xml:space="preserve">The appeal shall be heard and decided in the first instance by </w:t>
      </w:r>
      <w:r w:rsidR="008F16D6">
        <w:rPr>
          <w:rFonts w:cs="Arial"/>
          <w:szCs w:val="20"/>
          <w:lang w:val="en-NZ"/>
        </w:rPr>
        <w:t xml:space="preserve">the PTE Manager </w:t>
      </w:r>
      <w:r w:rsidR="00613231">
        <w:rPr>
          <w:rFonts w:cs="Arial"/>
          <w:szCs w:val="20"/>
          <w:lang w:val="en-NZ"/>
        </w:rPr>
        <w:t>or their specified delegate</w:t>
      </w:r>
      <w:r w:rsidRPr="00376BE0">
        <w:rPr>
          <w:rFonts w:cs="Arial"/>
          <w:szCs w:val="20"/>
          <w:lang w:val="en-NZ"/>
        </w:rPr>
        <w:t>.</w:t>
      </w:r>
    </w:p>
    <w:p w14:paraId="58C5F245" w14:textId="77777777" w:rsidR="00613231" w:rsidRPr="0003653F" w:rsidRDefault="00613231" w:rsidP="00613231">
      <w:pPr>
        <w:pStyle w:val="BlockNumber"/>
        <w:ind w:left="1560"/>
      </w:pPr>
      <w:r w:rsidRPr="0003653F">
        <w:t>Every appeal shall be considered on its merits.</w:t>
      </w:r>
    </w:p>
    <w:p w14:paraId="3CEC2B2A" w14:textId="77777777" w:rsidR="00613231" w:rsidRPr="0003653F" w:rsidRDefault="00613231" w:rsidP="00613231">
      <w:pPr>
        <w:pStyle w:val="BlockNumber"/>
        <w:ind w:left="1587" w:hanging="873"/>
        <w:rPr>
          <w:rFonts w:cs="Arial"/>
          <w:szCs w:val="20"/>
          <w:lang w:val="en-NZ"/>
        </w:rPr>
      </w:pPr>
      <w:r w:rsidRPr="0003653F">
        <w:rPr>
          <w:rFonts w:cs="Arial"/>
          <w:szCs w:val="20"/>
          <w:lang w:val="en-NZ"/>
        </w:rPr>
        <w:t>When determining the outcome of the appeal, decision makers may:</w:t>
      </w:r>
    </w:p>
    <w:p w14:paraId="4B40CBE4" w14:textId="77777777" w:rsidR="00613231" w:rsidRPr="0003653F" w:rsidRDefault="00613231" w:rsidP="00566D87">
      <w:pPr>
        <w:pStyle w:val="TableBullet1"/>
        <w:numPr>
          <w:ilvl w:val="0"/>
          <w:numId w:val="16"/>
        </w:numPr>
        <w:ind w:left="2268" w:hanging="567"/>
      </w:pPr>
      <w:r w:rsidRPr="0003653F">
        <w:t xml:space="preserve">Uphold the </w:t>
      </w:r>
      <w:proofErr w:type="gramStart"/>
      <w:r w:rsidRPr="0003653F">
        <w:t>appeal;</w:t>
      </w:r>
      <w:proofErr w:type="gramEnd"/>
      <w:r w:rsidRPr="0003653F">
        <w:t xml:space="preserve"> </w:t>
      </w:r>
    </w:p>
    <w:p w14:paraId="0FDAB74F" w14:textId="08AFFB7A" w:rsidR="00613231" w:rsidRPr="0003653F" w:rsidRDefault="00613231" w:rsidP="00566D87">
      <w:pPr>
        <w:pStyle w:val="TableBullet1"/>
        <w:numPr>
          <w:ilvl w:val="0"/>
          <w:numId w:val="16"/>
        </w:numPr>
        <w:ind w:left="2268" w:hanging="567"/>
      </w:pPr>
      <w:r w:rsidRPr="0003653F">
        <w:t>Uphold the appeal</w:t>
      </w:r>
      <w:r w:rsidR="00D56F86">
        <w:t xml:space="preserve"> or assessment decision </w:t>
      </w:r>
      <w:r>
        <w:t xml:space="preserve">in part </w:t>
      </w:r>
      <w:r w:rsidRPr="0003653F">
        <w:t xml:space="preserve">and impose any penalty that is </w:t>
      </w:r>
      <w:proofErr w:type="spellStart"/>
      <w:r w:rsidRPr="0003653F">
        <w:t>authorised</w:t>
      </w:r>
      <w:proofErr w:type="spellEnd"/>
      <w:r w:rsidRPr="0003653F">
        <w:t xml:space="preserve"> under the </w:t>
      </w:r>
      <w:r w:rsidR="00893B2F">
        <w:rPr>
          <w:i/>
        </w:rPr>
        <w:t>Learner</w:t>
      </w:r>
      <w:r w:rsidRPr="0003653F">
        <w:rPr>
          <w:i/>
        </w:rPr>
        <w:t xml:space="preserve"> Regulations</w:t>
      </w:r>
      <w:r w:rsidRPr="0003653F">
        <w:t>; or</w:t>
      </w:r>
    </w:p>
    <w:p w14:paraId="54B6FE21" w14:textId="0B756A56" w:rsidR="00613231" w:rsidRPr="0003653F" w:rsidRDefault="00613231" w:rsidP="00566D87">
      <w:pPr>
        <w:pStyle w:val="TableBullet1"/>
        <w:numPr>
          <w:ilvl w:val="0"/>
          <w:numId w:val="16"/>
        </w:numPr>
        <w:ind w:left="2268" w:hanging="567"/>
      </w:pPr>
      <w:r w:rsidRPr="0003653F">
        <w:t xml:space="preserve">Dismiss the appeal and either confirm the </w:t>
      </w:r>
      <w:r w:rsidR="00D56F86">
        <w:t xml:space="preserve">assessment decision or </w:t>
      </w:r>
      <w:r w:rsidRPr="0003653F">
        <w:t xml:space="preserve">penalty previously imposed or impose any other penalty that is </w:t>
      </w:r>
      <w:proofErr w:type="spellStart"/>
      <w:r w:rsidRPr="0003653F">
        <w:t>authorised</w:t>
      </w:r>
      <w:proofErr w:type="spellEnd"/>
      <w:r w:rsidRPr="0003653F">
        <w:t xml:space="preserve"> under the </w:t>
      </w:r>
      <w:r w:rsidR="00893B2F">
        <w:rPr>
          <w:i/>
        </w:rPr>
        <w:t>Learner</w:t>
      </w:r>
      <w:r w:rsidRPr="0003653F">
        <w:rPr>
          <w:i/>
        </w:rPr>
        <w:t xml:space="preserve"> Regulations</w:t>
      </w:r>
      <w:r w:rsidRPr="0003653F">
        <w:t xml:space="preserve">. </w:t>
      </w:r>
    </w:p>
    <w:p w14:paraId="0B402D2E" w14:textId="532BB706" w:rsidR="00613231" w:rsidRPr="00376BE0" w:rsidRDefault="00893B2F" w:rsidP="00613231">
      <w:pPr>
        <w:pStyle w:val="BlockNumber"/>
        <w:ind w:left="1587" w:hanging="873"/>
        <w:rPr>
          <w:rFonts w:cs="Arial"/>
          <w:szCs w:val="20"/>
        </w:rPr>
      </w:pPr>
      <w:r>
        <w:rPr>
          <w:rFonts w:cs="Arial"/>
          <w:szCs w:val="20"/>
          <w:lang w:val="en-NZ"/>
        </w:rPr>
        <w:t>Learner</w:t>
      </w:r>
      <w:r w:rsidR="00613231" w:rsidRPr="0003653F">
        <w:rPr>
          <w:rFonts w:cs="Arial"/>
          <w:szCs w:val="20"/>
          <w:lang w:val="en-NZ"/>
        </w:rPr>
        <w:t>s shall be advised of the outcome of their appeal within ten working days of the appeal being heard.</w:t>
      </w:r>
    </w:p>
    <w:p w14:paraId="6F0B9CBA" w14:textId="77777777" w:rsidR="002A3F16" w:rsidRDefault="002A3F16" w:rsidP="00D25480">
      <w:pPr>
        <w:pStyle w:val="BlockNumber"/>
        <w:ind w:left="1587" w:hanging="873"/>
        <w:rPr>
          <w:rFonts w:cs="Arial"/>
          <w:szCs w:val="20"/>
          <w:lang w:val="en-NZ"/>
        </w:rPr>
      </w:pPr>
      <w:r>
        <w:rPr>
          <w:rFonts w:cs="Arial"/>
          <w:szCs w:val="20"/>
          <w:lang w:val="en-NZ"/>
        </w:rPr>
        <w:t xml:space="preserve">Appeals shall generally be held by telephone or video </w:t>
      </w:r>
      <w:proofErr w:type="gramStart"/>
      <w:r>
        <w:rPr>
          <w:rFonts w:cs="Arial"/>
          <w:szCs w:val="20"/>
          <w:lang w:val="en-NZ"/>
        </w:rPr>
        <w:t>conference</w:t>
      </w:r>
      <w:proofErr w:type="gramEnd"/>
    </w:p>
    <w:p w14:paraId="2B888A76" w14:textId="4444566E" w:rsidR="00736967" w:rsidRPr="0003653F" w:rsidRDefault="00893B2F" w:rsidP="00D25480">
      <w:pPr>
        <w:pStyle w:val="BlockNumber"/>
        <w:ind w:left="1587" w:hanging="873"/>
        <w:rPr>
          <w:rFonts w:cs="Arial"/>
          <w:szCs w:val="20"/>
          <w:lang w:val="en-NZ"/>
        </w:rPr>
      </w:pPr>
      <w:r>
        <w:rPr>
          <w:rFonts w:cs="Arial"/>
          <w:szCs w:val="20"/>
          <w:lang w:val="en-NZ"/>
        </w:rPr>
        <w:t>Learner</w:t>
      </w:r>
      <w:r w:rsidR="0081733D" w:rsidRPr="0003653F">
        <w:rPr>
          <w:rFonts w:cs="Arial"/>
          <w:szCs w:val="20"/>
          <w:lang w:val="en-NZ"/>
        </w:rPr>
        <w:t>s</w:t>
      </w:r>
      <w:r w:rsidR="00D72A1B" w:rsidRPr="0003653F">
        <w:rPr>
          <w:rFonts w:cs="Arial"/>
          <w:szCs w:val="20"/>
          <w:lang w:val="en-NZ"/>
        </w:rPr>
        <w:t xml:space="preserve"> shall be advised of their right to attend </w:t>
      </w:r>
      <w:r w:rsidR="00C2152C" w:rsidRPr="0003653F">
        <w:rPr>
          <w:rFonts w:cs="Arial"/>
          <w:szCs w:val="20"/>
          <w:lang w:val="en-NZ"/>
        </w:rPr>
        <w:t xml:space="preserve">the appeal meeting </w:t>
      </w:r>
      <w:r w:rsidR="00D72A1B" w:rsidRPr="0003653F">
        <w:rPr>
          <w:rFonts w:cs="Arial"/>
          <w:szCs w:val="20"/>
          <w:lang w:val="en-NZ"/>
        </w:rPr>
        <w:t>and to be accompanied by a support person.</w:t>
      </w:r>
      <w:r w:rsidR="00AA1F85" w:rsidRPr="0003653F">
        <w:rPr>
          <w:rFonts w:cs="Arial"/>
          <w:szCs w:val="20"/>
          <w:lang w:val="en-NZ"/>
        </w:rPr>
        <w:t xml:space="preserve">  </w:t>
      </w:r>
      <w:r>
        <w:rPr>
          <w:rFonts w:cs="Arial"/>
          <w:szCs w:val="20"/>
          <w:lang w:val="en-NZ"/>
        </w:rPr>
        <w:t>ATNZ</w:t>
      </w:r>
      <w:r w:rsidR="00AA1F85" w:rsidRPr="0003653F">
        <w:rPr>
          <w:rFonts w:cs="Arial"/>
          <w:szCs w:val="20"/>
          <w:lang w:val="en-NZ"/>
        </w:rPr>
        <w:t xml:space="preserve"> will provide a support person if required. </w:t>
      </w:r>
    </w:p>
    <w:p w14:paraId="303497FA" w14:textId="24BA7923" w:rsidR="002639A6" w:rsidRPr="0003653F" w:rsidRDefault="002639A6" w:rsidP="00D25480">
      <w:pPr>
        <w:pStyle w:val="BlockNumber"/>
        <w:ind w:left="1587" w:hanging="873"/>
        <w:rPr>
          <w:rFonts w:cs="Arial"/>
          <w:szCs w:val="20"/>
          <w:lang w:val="en-NZ"/>
        </w:rPr>
      </w:pPr>
      <w:r w:rsidRPr="0003653F">
        <w:rPr>
          <w:rFonts w:cs="Arial"/>
          <w:szCs w:val="20"/>
          <w:lang w:val="en-NZ"/>
        </w:rPr>
        <w:t>The Chief Executive shall hear appeal</w:t>
      </w:r>
      <w:r w:rsidR="00D627A2" w:rsidRPr="0003653F">
        <w:rPr>
          <w:rFonts w:cs="Arial"/>
          <w:szCs w:val="20"/>
          <w:lang w:val="en-NZ"/>
        </w:rPr>
        <w:t>s</w:t>
      </w:r>
      <w:r w:rsidRPr="0003653F">
        <w:rPr>
          <w:rFonts w:cs="Arial"/>
          <w:szCs w:val="20"/>
          <w:lang w:val="en-NZ"/>
        </w:rPr>
        <w:t xml:space="preserve"> against </w:t>
      </w:r>
      <w:r w:rsidR="008A680D" w:rsidRPr="0003653F">
        <w:rPr>
          <w:rFonts w:cs="Arial"/>
          <w:szCs w:val="20"/>
          <w:lang w:val="en-NZ"/>
        </w:rPr>
        <w:t>a</w:t>
      </w:r>
      <w:r w:rsidR="00352D21" w:rsidRPr="0003653F">
        <w:rPr>
          <w:rFonts w:cs="Arial"/>
          <w:szCs w:val="20"/>
          <w:lang w:val="en-NZ"/>
        </w:rPr>
        <w:t>n</w:t>
      </w:r>
      <w:r w:rsidR="008F16D6">
        <w:rPr>
          <w:rFonts w:cs="Arial"/>
          <w:szCs w:val="20"/>
          <w:lang w:val="en-NZ"/>
        </w:rPr>
        <w:t xml:space="preserve">y </w:t>
      </w:r>
      <w:r w:rsidRPr="0003653F">
        <w:rPr>
          <w:rFonts w:cs="Arial"/>
          <w:szCs w:val="20"/>
          <w:lang w:val="en-NZ"/>
        </w:rPr>
        <w:t xml:space="preserve">Appeals decision </w:t>
      </w:r>
      <w:r w:rsidR="008F16D6">
        <w:rPr>
          <w:rFonts w:cs="Arial"/>
          <w:szCs w:val="20"/>
          <w:lang w:val="en-NZ"/>
        </w:rPr>
        <w:t xml:space="preserve">made by the PTE Manager </w:t>
      </w:r>
      <w:r w:rsidRPr="0003653F">
        <w:rPr>
          <w:rFonts w:cs="Arial"/>
          <w:szCs w:val="20"/>
          <w:lang w:val="en-NZ"/>
        </w:rPr>
        <w:t xml:space="preserve">where a written application is made to the Chief Executive within ten working days of the date of the communication of the </w:t>
      </w:r>
      <w:r w:rsidR="008F16D6">
        <w:rPr>
          <w:rFonts w:cs="Arial"/>
          <w:szCs w:val="20"/>
          <w:lang w:val="en-NZ"/>
        </w:rPr>
        <w:t xml:space="preserve">PTE Manager’s </w:t>
      </w:r>
      <w:r w:rsidRPr="0003653F">
        <w:rPr>
          <w:rFonts w:cs="Arial"/>
          <w:szCs w:val="20"/>
          <w:lang w:val="en-NZ"/>
        </w:rPr>
        <w:t xml:space="preserve">decision to the </w:t>
      </w:r>
      <w:r w:rsidR="00893B2F">
        <w:rPr>
          <w:rFonts w:cs="Arial"/>
          <w:szCs w:val="20"/>
          <w:lang w:val="en-NZ"/>
        </w:rPr>
        <w:t>learner</w:t>
      </w:r>
      <w:r w:rsidRPr="0003653F">
        <w:rPr>
          <w:rFonts w:cs="Arial"/>
          <w:szCs w:val="20"/>
          <w:lang w:val="en-NZ"/>
        </w:rPr>
        <w:t>.</w:t>
      </w:r>
    </w:p>
    <w:p w14:paraId="6CB713C1" w14:textId="04962FBC" w:rsidR="00736967" w:rsidRPr="0003653F" w:rsidRDefault="00D72A1B" w:rsidP="00D25480">
      <w:pPr>
        <w:pStyle w:val="BlockNumber"/>
        <w:ind w:left="1587" w:hanging="873"/>
        <w:rPr>
          <w:rFonts w:cs="Arial"/>
          <w:szCs w:val="20"/>
          <w:lang w:val="en-NZ"/>
        </w:rPr>
      </w:pPr>
      <w:r w:rsidRPr="0003653F">
        <w:rPr>
          <w:rFonts w:cs="Arial"/>
          <w:szCs w:val="20"/>
          <w:lang w:val="en-NZ"/>
        </w:rPr>
        <w:t xml:space="preserve">The Chief Executive shall only consider appeals against </w:t>
      </w:r>
      <w:r w:rsidR="00D627A2" w:rsidRPr="0003653F">
        <w:rPr>
          <w:rFonts w:cs="Arial"/>
          <w:szCs w:val="20"/>
          <w:lang w:val="en-NZ"/>
        </w:rPr>
        <w:t>a</w:t>
      </w:r>
      <w:r w:rsidR="00352D21" w:rsidRPr="0003653F">
        <w:rPr>
          <w:rFonts w:cs="Arial"/>
          <w:szCs w:val="20"/>
          <w:lang w:val="en-NZ"/>
        </w:rPr>
        <w:t>n</w:t>
      </w:r>
      <w:r w:rsidRPr="0003653F">
        <w:rPr>
          <w:rFonts w:cs="Arial"/>
          <w:szCs w:val="20"/>
          <w:lang w:val="en-NZ"/>
        </w:rPr>
        <w:t xml:space="preserve"> Appeals </w:t>
      </w:r>
      <w:r w:rsidR="00352D21" w:rsidRPr="0003653F">
        <w:rPr>
          <w:rFonts w:cs="Arial"/>
          <w:szCs w:val="20"/>
          <w:lang w:val="en-NZ"/>
        </w:rPr>
        <w:t>Committee</w:t>
      </w:r>
      <w:r w:rsidRPr="0003653F">
        <w:rPr>
          <w:rFonts w:cs="Arial"/>
          <w:szCs w:val="20"/>
          <w:lang w:val="en-NZ"/>
        </w:rPr>
        <w:t xml:space="preserve"> decision if there is an allegation of unfair or improper treatment of a </w:t>
      </w:r>
      <w:r w:rsidR="00893B2F">
        <w:rPr>
          <w:rFonts w:cs="Arial"/>
          <w:szCs w:val="20"/>
          <w:lang w:val="en-NZ"/>
        </w:rPr>
        <w:t>learner</w:t>
      </w:r>
      <w:r w:rsidRPr="0003653F">
        <w:rPr>
          <w:rFonts w:cs="Arial"/>
          <w:szCs w:val="20"/>
          <w:lang w:val="en-NZ"/>
        </w:rPr>
        <w:t xml:space="preserve"> due to a breach of, or inadequate application of</w:t>
      </w:r>
      <w:r w:rsidR="00613231">
        <w:rPr>
          <w:rFonts w:cs="Arial"/>
          <w:szCs w:val="20"/>
          <w:lang w:val="en-NZ"/>
        </w:rPr>
        <w:t xml:space="preserve"> </w:t>
      </w:r>
      <w:r w:rsidR="00893B2F">
        <w:rPr>
          <w:rFonts w:cs="Arial"/>
          <w:szCs w:val="20"/>
          <w:lang w:val="en-NZ"/>
        </w:rPr>
        <w:t>ATNZ</w:t>
      </w:r>
      <w:r w:rsidR="00613231">
        <w:rPr>
          <w:rFonts w:cs="Arial"/>
          <w:szCs w:val="20"/>
          <w:lang w:val="en-NZ"/>
        </w:rPr>
        <w:t xml:space="preserve"> </w:t>
      </w:r>
      <w:r w:rsidRPr="0003653F">
        <w:rPr>
          <w:rFonts w:cs="Arial"/>
          <w:szCs w:val="20"/>
          <w:lang w:val="en-NZ"/>
        </w:rPr>
        <w:t xml:space="preserve">rules, </w:t>
      </w:r>
      <w:proofErr w:type="gramStart"/>
      <w:r w:rsidRPr="0003653F">
        <w:rPr>
          <w:rFonts w:cs="Arial"/>
          <w:szCs w:val="20"/>
          <w:lang w:val="en-NZ"/>
        </w:rPr>
        <w:t>regulations</w:t>
      </w:r>
      <w:proofErr w:type="gramEnd"/>
      <w:r w:rsidRPr="0003653F">
        <w:rPr>
          <w:rFonts w:cs="Arial"/>
          <w:szCs w:val="20"/>
          <w:lang w:val="en-NZ"/>
        </w:rPr>
        <w:t xml:space="preserve"> or procedures.  Cases that require the Chief Executive to substitute their judg</w:t>
      </w:r>
      <w:r w:rsidR="00533C97" w:rsidRPr="0003653F">
        <w:rPr>
          <w:rFonts w:cs="Arial"/>
          <w:szCs w:val="20"/>
          <w:lang w:val="en-NZ"/>
        </w:rPr>
        <w:t>e</w:t>
      </w:r>
      <w:r w:rsidRPr="0003653F">
        <w:rPr>
          <w:rFonts w:cs="Arial"/>
          <w:szCs w:val="20"/>
          <w:lang w:val="en-NZ"/>
        </w:rPr>
        <w:t>men</w:t>
      </w:r>
      <w:r w:rsidR="0081733D" w:rsidRPr="0003653F">
        <w:rPr>
          <w:rFonts w:cs="Arial"/>
          <w:szCs w:val="20"/>
          <w:lang w:val="en-NZ"/>
        </w:rPr>
        <w:t>t</w:t>
      </w:r>
      <w:r w:rsidRPr="0003653F">
        <w:rPr>
          <w:rFonts w:cs="Arial"/>
          <w:szCs w:val="20"/>
          <w:lang w:val="en-NZ"/>
        </w:rPr>
        <w:t xml:space="preserve"> for that </w:t>
      </w:r>
      <w:r w:rsidR="000F5277" w:rsidRPr="0003653F">
        <w:rPr>
          <w:rFonts w:cs="Arial"/>
          <w:szCs w:val="20"/>
          <w:lang w:val="en-NZ"/>
        </w:rPr>
        <w:t xml:space="preserve">of the </w:t>
      </w:r>
      <w:r w:rsidR="008F16D6">
        <w:rPr>
          <w:rFonts w:cs="Arial"/>
          <w:szCs w:val="20"/>
          <w:lang w:val="en-NZ"/>
        </w:rPr>
        <w:t xml:space="preserve">PTE Manager </w:t>
      </w:r>
      <w:r w:rsidRPr="0003653F">
        <w:rPr>
          <w:rFonts w:cs="Arial"/>
          <w:szCs w:val="20"/>
          <w:lang w:val="en-NZ"/>
        </w:rPr>
        <w:t>shall not be considered.</w:t>
      </w:r>
    </w:p>
    <w:p w14:paraId="467DCD52" w14:textId="2D7FED75" w:rsidR="00613231" w:rsidRPr="0003653F" w:rsidRDefault="00D72A1B" w:rsidP="004375D1">
      <w:pPr>
        <w:pStyle w:val="BlockNumber"/>
        <w:numPr>
          <w:ilvl w:val="0"/>
          <w:numId w:val="0"/>
        </w:numPr>
        <w:ind w:left="1560"/>
      </w:pPr>
      <w:r w:rsidRPr="00FF5061">
        <w:rPr>
          <w:rFonts w:cs="Arial"/>
          <w:szCs w:val="20"/>
          <w:lang w:val="en-NZ"/>
        </w:rPr>
        <w:t>Appeals against decision</w:t>
      </w:r>
      <w:r w:rsidR="00D627A2" w:rsidRPr="00FF5061">
        <w:rPr>
          <w:rFonts w:cs="Arial"/>
          <w:szCs w:val="20"/>
          <w:lang w:val="en-NZ"/>
        </w:rPr>
        <w:t>s</w:t>
      </w:r>
      <w:r w:rsidRPr="00FF5061">
        <w:rPr>
          <w:rFonts w:cs="Arial"/>
          <w:szCs w:val="20"/>
          <w:lang w:val="en-NZ"/>
        </w:rPr>
        <w:t xml:space="preserve"> of the Chief Executive shall be heard by </w:t>
      </w:r>
      <w:r w:rsidR="00D627A2" w:rsidRPr="00FF5061">
        <w:rPr>
          <w:rFonts w:cs="Arial"/>
          <w:szCs w:val="20"/>
          <w:lang w:val="en-NZ"/>
        </w:rPr>
        <w:t xml:space="preserve">the </w:t>
      </w:r>
      <w:r w:rsidR="00893B2F">
        <w:rPr>
          <w:rFonts w:cs="Arial"/>
          <w:szCs w:val="20"/>
          <w:lang w:val="en-NZ"/>
        </w:rPr>
        <w:t>ATNZ</w:t>
      </w:r>
      <w:r w:rsidRPr="00FF5061">
        <w:rPr>
          <w:rFonts w:cs="Arial"/>
          <w:szCs w:val="20"/>
          <w:lang w:val="en-NZ"/>
        </w:rPr>
        <w:t xml:space="preserve"> </w:t>
      </w:r>
      <w:r w:rsidR="008A6880" w:rsidRPr="00FF5061">
        <w:rPr>
          <w:rFonts w:cs="Arial"/>
          <w:szCs w:val="20"/>
          <w:lang w:val="en-NZ"/>
        </w:rPr>
        <w:t>Board</w:t>
      </w:r>
      <w:r w:rsidRPr="00FF5061">
        <w:rPr>
          <w:rFonts w:cs="Arial"/>
          <w:szCs w:val="20"/>
          <w:lang w:val="en-NZ"/>
        </w:rPr>
        <w:t xml:space="preserve"> (if a written application is made to the Secretary of </w:t>
      </w:r>
      <w:r w:rsidR="008A6880" w:rsidRPr="00FF5061">
        <w:rPr>
          <w:rFonts w:cs="Arial"/>
          <w:szCs w:val="20"/>
          <w:lang w:val="en-NZ"/>
        </w:rPr>
        <w:t>Board</w:t>
      </w:r>
      <w:r w:rsidRPr="00FF5061">
        <w:rPr>
          <w:rFonts w:cs="Arial"/>
          <w:szCs w:val="20"/>
          <w:lang w:val="en-NZ"/>
        </w:rPr>
        <w:t xml:space="preserve"> within ten working days of the communication </w:t>
      </w:r>
      <w:r w:rsidR="000F5277" w:rsidRPr="00FF5061">
        <w:rPr>
          <w:rFonts w:cs="Arial"/>
          <w:szCs w:val="20"/>
          <w:lang w:val="en-NZ"/>
        </w:rPr>
        <w:t xml:space="preserve">of the decision </w:t>
      </w:r>
      <w:r w:rsidRPr="00FF5061">
        <w:rPr>
          <w:rFonts w:cs="Arial"/>
          <w:szCs w:val="20"/>
          <w:lang w:val="en-NZ"/>
        </w:rPr>
        <w:t>from the Chief Executive</w:t>
      </w:r>
      <w:r w:rsidR="00B843D1">
        <w:rPr>
          <w:rFonts w:cs="Arial"/>
          <w:szCs w:val="20"/>
          <w:lang w:val="en-NZ"/>
        </w:rPr>
        <w:t>)</w:t>
      </w:r>
      <w:r w:rsidRPr="00FF5061">
        <w:rPr>
          <w:rFonts w:cs="Arial"/>
          <w:szCs w:val="20"/>
          <w:lang w:val="en-NZ"/>
        </w:rPr>
        <w:t>.</w:t>
      </w:r>
      <w:r w:rsidR="00613231" w:rsidRPr="0003653F">
        <w:t xml:space="preserve">  Appeal applications should include</w:t>
      </w:r>
      <w:r w:rsidR="00FF5061">
        <w:t xml:space="preserve"> </w:t>
      </w:r>
      <w:r w:rsidR="00613231">
        <w:t>an outline of the grounds for appeal</w:t>
      </w:r>
      <w:r w:rsidR="00FF5061">
        <w:t>.</w:t>
      </w:r>
    </w:p>
    <w:p w14:paraId="633AA684" w14:textId="77777777" w:rsidR="00613231" w:rsidRDefault="00613231" w:rsidP="00613231">
      <w:pPr>
        <w:pStyle w:val="BlockNumber"/>
        <w:ind w:left="1560"/>
      </w:pPr>
      <w:r w:rsidRPr="0003653F">
        <w:t>Decisions of the Board are final and there shall be no further right of appeal.</w:t>
      </w:r>
    </w:p>
    <w:p w14:paraId="5C130D16" w14:textId="3257D30B" w:rsidR="00A77E2D" w:rsidRDefault="00A77E2D" w:rsidP="00A77E2D">
      <w:pPr>
        <w:pStyle w:val="BlockNumber"/>
        <w:numPr>
          <w:ilvl w:val="0"/>
          <w:numId w:val="0"/>
        </w:numPr>
        <w:ind w:left="1560"/>
      </w:pPr>
    </w:p>
    <w:p w14:paraId="6E482C61" w14:textId="61DB67D8" w:rsidR="00AC25A6" w:rsidRDefault="00AC25A6" w:rsidP="00A77E2D">
      <w:pPr>
        <w:pStyle w:val="BlockNumber"/>
        <w:numPr>
          <w:ilvl w:val="0"/>
          <w:numId w:val="0"/>
        </w:numPr>
        <w:ind w:left="1560"/>
      </w:pPr>
    </w:p>
    <w:p w14:paraId="392BA4CF" w14:textId="77777777" w:rsidR="00AC25A6" w:rsidRDefault="00AC25A6" w:rsidP="00A77E2D">
      <w:pPr>
        <w:pStyle w:val="BlockNumber"/>
        <w:numPr>
          <w:ilvl w:val="0"/>
          <w:numId w:val="0"/>
        </w:numPr>
        <w:ind w:left="1560"/>
      </w:pPr>
    </w:p>
    <w:p w14:paraId="301F66F4" w14:textId="09919D9A" w:rsidR="00692ACB" w:rsidRDefault="00692ACB">
      <w:pPr>
        <w:rPr>
          <w:rFonts w:ascii="Arial" w:hAnsi="Arial" w:cs="Arial"/>
          <w:sz w:val="20"/>
          <w:szCs w:val="20"/>
        </w:rPr>
      </w:pPr>
    </w:p>
    <w:p w14:paraId="3FBD7363" w14:textId="77777777" w:rsidR="00CD3903" w:rsidRPr="00032FAF" w:rsidRDefault="006241D2" w:rsidP="00D44C90">
      <w:pPr>
        <w:pStyle w:val="Heading1No"/>
        <w:ind w:left="567" w:hanging="567"/>
        <w:rPr>
          <w:lang w:val="en-NZ"/>
        </w:rPr>
      </w:pPr>
      <w:bookmarkStart w:id="92" w:name="_Toc352741632"/>
      <w:bookmarkStart w:id="93" w:name="_Toc352763819"/>
      <w:bookmarkStart w:id="94" w:name="_Toc321122942"/>
      <w:bookmarkStart w:id="95" w:name="_Toc321125843"/>
      <w:bookmarkStart w:id="96" w:name="_Toc105753615"/>
      <w:r w:rsidRPr="004337B2">
        <w:t>Glossary</w:t>
      </w:r>
      <w:bookmarkEnd w:id="92"/>
      <w:bookmarkEnd w:id="93"/>
      <w:bookmarkEnd w:id="94"/>
      <w:bookmarkEnd w:id="95"/>
      <w:bookmarkEnd w:id="96"/>
    </w:p>
    <w:tbl>
      <w:tblPr>
        <w:tblW w:w="9605" w:type="dxa"/>
        <w:tblInd w:w="25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2278"/>
        <w:gridCol w:w="7327"/>
      </w:tblGrid>
      <w:tr w:rsidR="00CD3903" w:rsidRPr="0003653F" w14:paraId="4C1C6037" w14:textId="77777777" w:rsidTr="000F3175">
        <w:trPr>
          <w:tblHeader/>
        </w:trPr>
        <w:tc>
          <w:tcPr>
            <w:tcW w:w="2281" w:type="dxa"/>
            <w:shd w:val="clear" w:color="auto" w:fill="D9D9D9" w:themeFill="background1" w:themeFillShade="D9"/>
          </w:tcPr>
          <w:p w14:paraId="62006126" w14:textId="77777777" w:rsidR="00CD3903" w:rsidRPr="0003653F" w:rsidRDefault="00D72A1B" w:rsidP="00D03B05">
            <w:pPr>
              <w:pStyle w:val="TableText"/>
              <w:spacing w:beforeLines="60" w:before="144" w:after="0"/>
              <w:rPr>
                <w:rFonts w:cs="Arial"/>
                <w:b/>
                <w:lang w:val="en-NZ"/>
              </w:rPr>
            </w:pPr>
            <w:r w:rsidRPr="0003653F">
              <w:rPr>
                <w:rFonts w:cs="Arial"/>
                <w:b/>
                <w:lang w:val="en-NZ"/>
              </w:rPr>
              <w:t>Term</w:t>
            </w:r>
          </w:p>
        </w:tc>
        <w:tc>
          <w:tcPr>
            <w:tcW w:w="7324" w:type="dxa"/>
            <w:shd w:val="clear" w:color="auto" w:fill="D9D9D9" w:themeFill="background1" w:themeFillShade="D9"/>
          </w:tcPr>
          <w:p w14:paraId="439BD3E2" w14:textId="77777777" w:rsidR="00CD3903" w:rsidRPr="0003653F" w:rsidRDefault="00D72A1B" w:rsidP="00D03B05">
            <w:pPr>
              <w:pStyle w:val="TableHeading"/>
              <w:spacing w:beforeLines="60" w:before="144" w:after="0"/>
              <w:rPr>
                <w:rFonts w:cs="Arial"/>
                <w:lang w:val="en-NZ"/>
              </w:rPr>
            </w:pPr>
            <w:r w:rsidRPr="0003653F">
              <w:rPr>
                <w:rFonts w:cs="Arial"/>
                <w:lang w:val="en-NZ"/>
              </w:rPr>
              <w:t xml:space="preserve">Definition </w:t>
            </w:r>
          </w:p>
        </w:tc>
      </w:tr>
      <w:tr w:rsidR="00B20A3D" w:rsidRPr="0003653F" w14:paraId="0D04D578" w14:textId="77777777" w:rsidTr="000F3175">
        <w:tc>
          <w:tcPr>
            <w:tcW w:w="2281" w:type="dxa"/>
            <w:shd w:val="clear" w:color="auto" w:fill="auto"/>
          </w:tcPr>
          <w:p w14:paraId="77A3F305" w14:textId="77777777" w:rsidR="00B20A3D" w:rsidRPr="0003653F" w:rsidRDefault="00B20A3D" w:rsidP="00D03B05">
            <w:pPr>
              <w:pStyle w:val="TableText"/>
              <w:spacing w:beforeLines="60" w:before="144" w:after="0"/>
              <w:rPr>
                <w:rFonts w:cs="Arial"/>
                <w:b/>
                <w:lang w:val="en-NZ"/>
              </w:rPr>
            </w:pPr>
            <w:r w:rsidRPr="0003653F">
              <w:rPr>
                <w:rFonts w:cs="Arial"/>
                <w:b/>
                <w:lang w:val="en-NZ"/>
              </w:rPr>
              <w:t>Academic staff</w:t>
            </w:r>
          </w:p>
        </w:tc>
        <w:tc>
          <w:tcPr>
            <w:tcW w:w="7324" w:type="dxa"/>
            <w:shd w:val="clear" w:color="auto" w:fill="auto"/>
          </w:tcPr>
          <w:p w14:paraId="67AF0D3C" w14:textId="312EC185" w:rsidR="00B20A3D" w:rsidRPr="0003653F" w:rsidRDefault="00B20A3D" w:rsidP="00D03B05">
            <w:pPr>
              <w:pStyle w:val="TableText"/>
              <w:spacing w:beforeLines="60" w:before="144" w:after="0"/>
              <w:rPr>
                <w:rFonts w:cs="Arial"/>
                <w:iCs/>
                <w:color w:val="000000"/>
                <w:lang w:val="en-NZ"/>
              </w:rPr>
            </w:pPr>
            <w:r w:rsidRPr="0003653F">
              <w:rPr>
                <w:rFonts w:cs="Arial"/>
                <w:iCs/>
                <w:color w:val="000000"/>
                <w:lang w:val="en-NZ"/>
              </w:rPr>
              <w:t>Staff whose duties include, or</w:t>
            </w:r>
            <w:r w:rsidR="006E061B" w:rsidRPr="0003653F">
              <w:rPr>
                <w:rFonts w:cs="Arial"/>
                <w:iCs/>
                <w:color w:val="000000"/>
                <w:lang w:val="en-NZ"/>
              </w:rPr>
              <w:t xml:space="preserve"> who</w:t>
            </w:r>
            <w:r w:rsidRPr="0003653F">
              <w:rPr>
                <w:rFonts w:cs="Arial"/>
                <w:iCs/>
                <w:color w:val="000000"/>
                <w:lang w:val="en-NZ"/>
              </w:rPr>
              <w:t xml:space="preserve"> directly assist staff whose duties include, all of the following in some measure: </w:t>
            </w:r>
            <w:r w:rsidR="00BA03CD">
              <w:rPr>
                <w:rFonts w:cs="Arial"/>
                <w:iCs/>
                <w:color w:val="000000"/>
                <w:lang w:val="en-NZ"/>
              </w:rPr>
              <w:t>training</w:t>
            </w:r>
            <w:r w:rsidRPr="0003653F">
              <w:rPr>
                <w:rFonts w:cs="Arial"/>
                <w:iCs/>
                <w:color w:val="000000"/>
                <w:lang w:val="en-NZ"/>
              </w:rPr>
              <w:t xml:space="preserve">, lesson preparation, </w:t>
            </w:r>
            <w:r w:rsidR="00893B2F">
              <w:rPr>
                <w:rFonts w:cs="Arial"/>
                <w:iCs/>
                <w:color w:val="000000"/>
                <w:lang w:val="en-NZ"/>
              </w:rPr>
              <w:t>learner</w:t>
            </w:r>
            <w:r w:rsidRPr="0003653F">
              <w:rPr>
                <w:rFonts w:cs="Arial"/>
                <w:iCs/>
                <w:color w:val="000000"/>
                <w:lang w:val="en-NZ"/>
              </w:rPr>
              <w:t xml:space="preserve"> assessment, pastoral care, and whose duties may also </w:t>
            </w:r>
            <w:proofErr w:type="gramStart"/>
            <w:r w:rsidRPr="0003653F">
              <w:rPr>
                <w:rFonts w:cs="Arial"/>
                <w:iCs/>
                <w:color w:val="000000"/>
                <w:lang w:val="en-NZ"/>
              </w:rPr>
              <w:t>include:</w:t>
            </w:r>
            <w:proofErr w:type="gramEnd"/>
            <w:r w:rsidRPr="0003653F">
              <w:rPr>
                <w:rFonts w:cs="Arial"/>
                <w:iCs/>
                <w:color w:val="000000"/>
                <w:lang w:val="en-NZ"/>
              </w:rPr>
              <w:t xml:space="preserve"> curriculum development, </w:t>
            </w:r>
            <w:r w:rsidR="00BA03CD">
              <w:rPr>
                <w:rFonts w:cs="Arial"/>
                <w:iCs/>
                <w:color w:val="000000"/>
                <w:lang w:val="en-NZ"/>
              </w:rPr>
              <w:t xml:space="preserve">staff </w:t>
            </w:r>
            <w:r w:rsidRPr="0003653F">
              <w:rPr>
                <w:rFonts w:cs="Arial"/>
                <w:iCs/>
                <w:color w:val="000000"/>
                <w:lang w:val="en-NZ"/>
              </w:rPr>
              <w:t>development, or staff who directly advise those described above on academic matters.</w:t>
            </w:r>
          </w:p>
          <w:p w14:paraId="419BB1E7" w14:textId="77777777" w:rsidR="00B20A3D" w:rsidRPr="0003653F" w:rsidRDefault="00B20A3D" w:rsidP="00B20A3D">
            <w:pPr>
              <w:pStyle w:val="TableText"/>
              <w:spacing w:before="0" w:after="0"/>
              <w:rPr>
                <w:rFonts w:cs="Arial"/>
                <w:iCs/>
                <w:color w:val="000000"/>
                <w:lang w:val="en-NZ"/>
              </w:rPr>
            </w:pPr>
          </w:p>
        </w:tc>
      </w:tr>
      <w:tr w:rsidR="001148E4" w:rsidRPr="0003653F" w14:paraId="1BBE9A5F" w14:textId="77777777" w:rsidTr="000F3175">
        <w:tc>
          <w:tcPr>
            <w:tcW w:w="2281" w:type="dxa"/>
            <w:shd w:val="clear" w:color="auto" w:fill="auto"/>
          </w:tcPr>
          <w:p w14:paraId="0D7E1B50" w14:textId="77777777" w:rsidR="001148E4" w:rsidRPr="0003653F" w:rsidRDefault="00D72A1B" w:rsidP="00D03B05">
            <w:pPr>
              <w:pStyle w:val="TableText"/>
              <w:spacing w:beforeLines="60" w:before="144" w:after="0"/>
              <w:rPr>
                <w:rFonts w:cs="Arial"/>
                <w:b/>
                <w:lang w:val="en-NZ"/>
              </w:rPr>
            </w:pPr>
            <w:r w:rsidRPr="0003653F">
              <w:rPr>
                <w:rFonts w:cs="Arial"/>
                <w:b/>
                <w:lang w:val="en-NZ"/>
              </w:rPr>
              <w:t>Academic transcript</w:t>
            </w:r>
          </w:p>
        </w:tc>
        <w:tc>
          <w:tcPr>
            <w:tcW w:w="7324" w:type="dxa"/>
            <w:shd w:val="clear" w:color="auto" w:fill="auto"/>
          </w:tcPr>
          <w:p w14:paraId="39EA80D0" w14:textId="76DFFD5E" w:rsidR="00736967" w:rsidRPr="0003653F" w:rsidRDefault="00D72A1B" w:rsidP="00D03B05">
            <w:pPr>
              <w:pStyle w:val="TableText"/>
              <w:spacing w:beforeLines="60" w:before="144" w:after="0"/>
              <w:rPr>
                <w:rFonts w:cs="Arial"/>
                <w:iCs/>
                <w:color w:val="000000"/>
                <w:lang w:val="en-NZ"/>
              </w:rPr>
            </w:pPr>
            <w:r w:rsidRPr="0003653F">
              <w:rPr>
                <w:rFonts w:cs="Arial"/>
                <w:iCs/>
                <w:color w:val="000000"/>
                <w:lang w:val="en-NZ"/>
              </w:rPr>
              <w:t xml:space="preserve">The official record of a </w:t>
            </w:r>
            <w:r w:rsidR="00893B2F">
              <w:rPr>
                <w:rFonts w:cs="Arial"/>
                <w:iCs/>
                <w:color w:val="000000"/>
                <w:lang w:val="en-NZ"/>
              </w:rPr>
              <w:t>learner</w:t>
            </w:r>
            <w:r w:rsidRPr="0003653F">
              <w:rPr>
                <w:rFonts w:cs="Arial"/>
                <w:iCs/>
                <w:color w:val="000000"/>
                <w:lang w:val="en-NZ"/>
              </w:rPr>
              <w:t xml:space="preserve">’s study at </w:t>
            </w:r>
            <w:r w:rsidR="00893B2F">
              <w:rPr>
                <w:rFonts w:cs="Arial"/>
                <w:iCs/>
                <w:color w:val="000000"/>
                <w:lang w:val="en-NZ"/>
              </w:rPr>
              <w:t>ATNZ</w:t>
            </w:r>
            <w:r w:rsidRPr="0003653F">
              <w:rPr>
                <w:rFonts w:cs="Arial"/>
                <w:iCs/>
                <w:color w:val="000000"/>
                <w:lang w:val="en-NZ"/>
              </w:rPr>
              <w:t xml:space="preserve">.  </w:t>
            </w:r>
            <w:r w:rsidR="000E550D" w:rsidRPr="0003653F">
              <w:rPr>
                <w:rFonts w:cs="Arial"/>
                <w:iCs/>
                <w:color w:val="000000"/>
                <w:lang w:val="en-NZ"/>
              </w:rPr>
              <w:t>A</w:t>
            </w:r>
            <w:r w:rsidRPr="0003653F">
              <w:rPr>
                <w:rFonts w:cs="Arial"/>
                <w:iCs/>
                <w:color w:val="000000"/>
                <w:lang w:val="en-NZ"/>
              </w:rPr>
              <w:t>cademic transcript</w:t>
            </w:r>
            <w:r w:rsidR="000E550D" w:rsidRPr="0003653F">
              <w:rPr>
                <w:rFonts w:cs="Arial"/>
                <w:iCs/>
                <w:color w:val="000000"/>
                <w:lang w:val="en-NZ"/>
              </w:rPr>
              <w:t>s</w:t>
            </w:r>
            <w:r w:rsidRPr="0003653F">
              <w:rPr>
                <w:rFonts w:cs="Arial"/>
                <w:iCs/>
                <w:color w:val="000000"/>
                <w:lang w:val="en-NZ"/>
              </w:rPr>
              <w:t xml:space="preserve"> record all </w:t>
            </w:r>
            <w:r w:rsidR="000E550D" w:rsidRPr="0003653F">
              <w:rPr>
                <w:rFonts w:cs="Arial"/>
                <w:iCs/>
                <w:color w:val="000000"/>
                <w:lang w:val="en-NZ"/>
              </w:rPr>
              <w:t xml:space="preserve">outcomes from </w:t>
            </w:r>
            <w:r w:rsidRPr="0003653F">
              <w:rPr>
                <w:rFonts w:cs="Arial"/>
                <w:iCs/>
                <w:color w:val="000000"/>
                <w:lang w:val="en-NZ"/>
              </w:rPr>
              <w:t xml:space="preserve">courses studied </w:t>
            </w:r>
            <w:r w:rsidR="000E550D" w:rsidRPr="0003653F">
              <w:rPr>
                <w:rFonts w:cs="Arial"/>
                <w:iCs/>
                <w:color w:val="000000"/>
                <w:lang w:val="en-NZ"/>
              </w:rPr>
              <w:t xml:space="preserve">by </w:t>
            </w:r>
            <w:r w:rsidR="00893B2F">
              <w:rPr>
                <w:rFonts w:cs="Arial"/>
                <w:iCs/>
                <w:color w:val="000000"/>
                <w:lang w:val="en-NZ"/>
              </w:rPr>
              <w:t>learner</w:t>
            </w:r>
            <w:r w:rsidR="000E550D" w:rsidRPr="0003653F">
              <w:rPr>
                <w:rFonts w:cs="Arial"/>
                <w:iCs/>
                <w:color w:val="000000"/>
                <w:lang w:val="en-NZ"/>
              </w:rPr>
              <w:t xml:space="preserve">s, </w:t>
            </w:r>
            <w:r w:rsidRPr="0003653F">
              <w:rPr>
                <w:rFonts w:cs="Arial"/>
                <w:iCs/>
                <w:color w:val="000000"/>
                <w:lang w:val="en-NZ"/>
              </w:rPr>
              <w:t>including both pass and fail</w:t>
            </w:r>
            <w:r w:rsidR="000E550D" w:rsidRPr="0003653F">
              <w:rPr>
                <w:rFonts w:cs="Arial"/>
                <w:iCs/>
                <w:color w:val="000000"/>
                <w:lang w:val="en-NZ"/>
              </w:rPr>
              <w:t xml:space="preserve"> results</w:t>
            </w:r>
            <w:r w:rsidRPr="0003653F">
              <w:rPr>
                <w:rFonts w:cs="Arial"/>
                <w:iCs/>
                <w:color w:val="000000"/>
                <w:lang w:val="en-NZ"/>
              </w:rPr>
              <w:t>.</w:t>
            </w:r>
          </w:p>
          <w:p w14:paraId="745C809A" w14:textId="77777777" w:rsidR="001148E4" w:rsidRPr="0003653F" w:rsidRDefault="001148E4" w:rsidP="006241D2">
            <w:pPr>
              <w:pStyle w:val="TableText"/>
              <w:spacing w:before="0" w:after="0"/>
              <w:rPr>
                <w:rFonts w:cs="Arial"/>
                <w:iCs/>
                <w:color w:val="000000"/>
                <w:lang w:val="en-NZ"/>
              </w:rPr>
            </w:pPr>
          </w:p>
        </w:tc>
      </w:tr>
      <w:tr w:rsidR="001148E4" w:rsidRPr="0003653F" w14:paraId="490ABF7F" w14:textId="77777777" w:rsidTr="000F3175">
        <w:tc>
          <w:tcPr>
            <w:tcW w:w="2281" w:type="dxa"/>
            <w:shd w:val="clear" w:color="auto" w:fill="auto"/>
          </w:tcPr>
          <w:p w14:paraId="7A34DCE4" w14:textId="77777777" w:rsidR="001148E4" w:rsidRPr="0003653F" w:rsidRDefault="00D72A1B" w:rsidP="000D69E4">
            <w:pPr>
              <w:pStyle w:val="TableText"/>
              <w:spacing w:beforeLines="60" w:before="144" w:after="0"/>
              <w:rPr>
                <w:rFonts w:cs="Arial"/>
                <w:b/>
                <w:lang w:val="en-NZ"/>
              </w:rPr>
            </w:pPr>
            <w:r w:rsidRPr="0003653F">
              <w:rPr>
                <w:rFonts w:cs="Arial"/>
                <w:b/>
                <w:lang w:val="en-NZ"/>
              </w:rPr>
              <w:lastRenderedPageBreak/>
              <w:t>Achievement-based assessment</w:t>
            </w:r>
          </w:p>
        </w:tc>
        <w:tc>
          <w:tcPr>
            <w:tcW w:w="7324" w:type="dxa"/>
            <w:shd w:val="clear" w:color="auto" w:fill="auto"/>
          </w:tcPr>
          <w:p w14:paraId="590B0160" w14:textId="2C8F333E" w:rsidR="00736967" w:rsidRPr="0003653F" w:rsidRDefault="00D72A1B" w:rsidP="00D03B05">
            <w:pPr>
              <w:pStyle w:val="TableText"/>
              <w:spacing w:beforeLines="60" w:before="144" w:after="0"/>
              <w:rPr>
                <w:rFonts w:cs="Arial"/>
                <w:iCs/>
                <w:color w:val="000000"/>
                <w:lang w:val="en-NZ"/>
              </w:rPr>
            </w:pPr>
            <w:r w:rsidRPr="0003653F">
              <w:rPr>
                <w:rFonts w:cs="Arial"/>
                <w:iCs/>
                <w:color w:val="000000"/>
                <w:lang w:val="en-NZ"/>
              </w:rPr>
              <w:t xml:space="preserve">Where a set of criteria is defined for a particular course or learning outcome and the </w:t>
            </w:r>
            <w:r w:rsidR="00893B2F">
              <w:rPr>
                <w:rFonts w:cs="Arial"/>
                <w:iCs/>
                <w:color w:val="000000"/>
                <w:lang w:val="en-NZ"/>
              </w:rPr>
              <w:t>learner</w:t>
            </w:r>
            <w:r w:rsidRPr="0003653F">
              <w:rPr>
                <w:rFonts w:cs="Arial"/>
                <w:iCs/>
                <w:color w:val="000000"/>
                <w:lang w:val="en-NZ"/>
              </w:rPr>
              <w:t xml:space="preserve">’s level of achievement is assessed against these criteria.  Achievement-based </w:t>
            </w:r>
            <w:r w:rsidR="000D69E4" w:rsidRPr="0003653F">
              <w:rPr>
                <w:rFonts w:cs="Arial"/>
                <w:iCs/>
                <w:color w:val="000000"/>
                <w:lang w:val="en-NZ"/>
              </w:rPr>
              <w:t xml:space="preserve">summative </w:t>
            </w:r>
            <w:r w:rsidRPr="0003653F">
              <w:rPr>
                <w:rFonts w:cs="Arial"/>
                <w:iCs/>
                <w:color w:val="000000"/>
                <w:lang w:val="en-NZ"/>
              </w:rPr>
              <w:t>assessment is recognised through the allocation of a mark or grade.</w:t>
            </w:r>
          </w:p>
          <w:p w14:paraId="1640A51B" w14:textId="77777777" w:rsidR="001148E4" w:rsidRPr="0003653F" w:rsidRDefault="001148E4" w:rsidP="006241D2">
            <w:pPr>
              <w:pStyle w:val="TableText"/>
              <w:spacing w:before="0" w:after="0"/>
              <w:rPr>
                <w:rFonts w:cs="Arial"/>
                <w:iCs/>
                <w:color w:val="000000"/>
                <w:lang w:val="en-NZ"/>
              </w:rPr>
            </w:pPr>
          </w:p>
        </w:tc>
      </w:tr>
      <w:tr w:rsidR="00B20A3D" w:rsidRPr="0003653F" w14:paraId="56266147" w14:textId="77777777" w:rsidTr="000F3175">
        <w:tc>
          <w:tcPr>
            <w:tcW w:w="2281" w:type="dxa"/>
            <w:shd w:val="clear" w:color="auto" w:fill="auto"/>
          </w:tcPr>
          <w:p w14:paraId="3C6137F0" w14:textId="77777777" w:rsidR="00B20A3D" w:rsidRPr="0003653F" w:rsidRDefault="00B20A3D" w:rsidP="000D69E4">
            <w:pPr>
              <w:pStyle w:val="TableText"/>
              <w:spacing w:beforeLines="60" w:before="144" w:after="0"/>
              <w:rPr>
                <w:rFonts w:cs="Arial"/>
                <w:b/>
                <w:lang w:val="en-NZ"/>
              </w:rPr>
            </w:pPr>
            <w:r w:rsidRPr="0003653F">
              <w:rPr>
                <w:rFonts w:cs="Arial"/>
                <w:b/>
                <w:lang w:val="en-NZ"/>
              </w:rPr>
              <w:t>Achievement standard</w:t>
            </w:r>
          </w:p>
        </w:tc>
        <w:tc>
          <w:tcPr>
            <w:tcW w:w="7324" w:type="dxa"/>
            <w:shd w:val="clear" w:color="auto" w:fill="auto"/>
          </w:tcPr>
          <w:p w14:paraId="78ABD2FE" w14:textId="77777777" w:rsidR="00B20A3D" w:rsidRPr="0003653F" w:rsidRDefault="00B20A3D" w:rsidP="00D03B05">
            <w:pPr>
              <w:pStyle w:val="TableText"/>
              <w:spacing w:beforeLines="60" w:before="144" w:after="0"/>
              <w:rPr>
                <w:rFonts w:cs="Arial"/>
                <w:iCs/>
                <w:color w:val="000000"/>
                <w:lang w:val="en-NZ"/>
              </w:rPr>
            </w:pPr>
            <w:r w:rsidRPr="0003653F">
              <w:rPr>
                <w:rFonts w:cs="Arial"/>
                <w:iCs/>
                <w:color w:val="000000"/>
                <w:lang w:val="en-NZ"/>
              </w:rPr>
              <w:t>A nationally registered, coherent set of learning outcomes and associated assessment criteria, together with technical and management information that supports delivery and assessment; achievement standards specify three different standards of performance (Achieved, Merit, Excellence) and the method of assessment, which may include national external assessment. Achievement standards are derived from the New Zealand Curriculum and are usually associated with NCEA and secondary school delivery.</w:t>
            </w:r>
          </w:p>
          <w:p w14:paraId="72CA4E2F" w14:textId="77777777" w:rsidR="00B20A3D" w:rsidRPr="0003653F" w:rsidRDefault="00B20A3D" w:rsidP="007D1F57">
            <w:pPr>
              <w:pStyle w:val="TableText"/>
              <w:spacing w:before="0" w:after="0"/>
              <w:rPr>
                <w:rFonts w:cs="Arial"/>
                <w:iCs/>
                <w:color w:val="000000"/>
                <w:lang w:val="en-NZ"/>
              </w:rPr>
            </w:pPr>
          </w:p>
        </w:tc>
      </w:tr>
      <w:tr w:rsidR="000836DB" w:rsidRPr="0003653F" w14:paraId="5E799ADD" w14:textId="77777777" w:rsidTr="000F3175">
        <w:tc>
          <w:tcPr>
            <w:tcW w:w="2281" w:type="dxa"/>
            <w:shd w:val="clear" w:color="auto" w:fill="auto"/>
          </w:tcPr>
          <w:p w14:paraId="196EB28B" w14:textId="77777777" w:rsidR="000836DB" w:rsidRPr="0003653F" w:rsidRDefault="00D72A1B" w:rsidP="00D03B05">
            <w:pPr>
              <w:pStyle w:val="TableText"/>
              <w:spacing w:beforeLines="60" w:before="144" w:after="0"/>
              <w:rPr>
                <w:rFonts w:cs="Arial"/>
                <w:b/>
                <w:lang w:val="en-NZ"/>
              </w:rPr>
            </w:pPr>
            <w:r w:rsidRPr="0003653F">
              <w:rPr>
                <w:rFonts w:cs="Arial"/>
                <w:b/>
                <w:lang w:val="en-NZ"/>
              </w:rPr>
              <w:t>Admission</w:t>
            </w:r>
          </w:p>
        </w:tc>
        <w:tc>
          <w:tcPr>
            <w:tcW w:w="7324" w:type="dxa"/>
            <w:shd w:val="clear" w:color="auto" w:fill="auto"/>
          </w:tcPr>
          <w:p w14:paraId="46C4387E" w14:textId="77777777" w:rsidR="004176BA" w:rsidRPr="0003653F" w:rsidRDefault="00D72A1B" w:rsidP="00D03B05">
            <w:pPr>
              <w:pStyle w:val="TableText"/>
              <w:spacing w:beforeLines="60" w:before="144" w:after="0"/>
              <w:rPr>
                <w:rFonts w:cs="Arial"/>
                <w:iCs/>
                <w:color w:val="000000"/>
                <w:lang w:val="en-NZ"/>
              </w:rPr>
            </w:pPr>
            <w:r w:rsidRPr="0003653F">
              <w:rPr>
                <w:rFonts w:cs="Arial"/>
                <w:bCs/>
                <w:iCs/>
                <w:color w:val="000000"/>
                <w:lang w:val="en-NZ"/>
              </w:rPr>
              <w:t>T</w:t>
            </w:r>
            <w:r w:rsidRPr="0003653F">
              <w:rPr>
                <w:rFonts w:cs="Arial"/>
                <w:iCs/>
                <w:color w:val="000000"/>
                <w:lang w:val="en-NZ"/>
              </w:rPr>
              <w:t>he process of being assessed and approved for participation in a programme</w:t>
            </w:r>
            <w:r w:rsidR="00E5068A" w:rsidRPr="0003653F">
              <w:rPr>
                <w:rFonts w:cs="Arial"/>
                <w:iCs/>
                <w:color w:val="000000"/>
                <w:lang w:val="en-NZ"/>
              </w:rPr>
              <w:t xml:space="preserve">, training scheme or </w:t>
            </w:r>
            <w:r w:rsidRPr="0003653F">
              <w:rPr>
                <w:rFonts w:cs="Arial"/>
                <w:iCs/>
                <w:color w:val="000000"/>
                <w:lang w:val="en-NZ"/>
              </w:rPr>
              <w:t>course for which entry is restricted.</w:t>
            </w:r>
          </w:p>
          <w:p w14:paraId="70B803E0" w14:textId="77777777" w:rsidR="000836DB" w:rsidRPr="0003653F" w:rsidRDefault="000836DB" w:rsidP="006241D2">
            <w:pPr>
              <w:pStyle w:val="TableText"/>
              <w:spacing w:before="0" w:after="0"/>
              <w:rPr>
                <w:rFonts w:cs="Arial"/>
                <w:lang w:val="en-NZ"/>
              </w:rPr>
            </w:pPr>
          </w:p>
        </w:tc>
      </w:tr>
      <w:tr w:rsidR="00B95464" w:rsidRPr="0003653F" w14:paraId="340646BE" w14:textId="77777777" w:rsidTr="000F3175">
        <w:tc>
          <w:tcPr>
            <w:tcW w:w="2281" w:type="dxa"/>
            <w:shd w:val="clear" w:color="auto" w:fill="auto"/>
          </w:tcPr>
          <w:p w14:paraId="7A36FF1A" w14:textId="77777777" w:rsidR="00B95464" w:rsidRPr="0003653F" w:rsidRDefault="00B95464" w:rsidP="00D03B05">
            <w:pPr>
              <w:pStyle w:val="TableText"/>
              <w:spacing w:beforeLines="60" w:before="144" w:after="0"/>
              <w:rPr>
                <w:rFonts w:cs="Arial"/>
                <w:b/>
                <w:lang w:val="en-NZ"/>
              </w:rPr>
            </w:pPr>
            <w:r w:rsidRPr="0003653F">
              <w:rPr>
                <w:rFonts w:cs="Arial"/>
                <w:b/>
                <w:lang w:val="en-NZ"/>
              </w:rPr>
              <w:t>Aegrotat</w:t>
            </w:r>
            <w:r w:rsidR="00535AF7" w:rsidRPr="0003653F">
              <w:rPr>
                <w:rFonts w:cs="Arial"/>
                <w:b/>
                <w:lang w:val="en-NZ"/>
              </w:rPr>
              <w:t xml:space="preserve"> pass</w:t>
            </w:r>
          </w:p>
        </w:tc>
        <w:tc>
          <w:tcPr>
            <w:tcW w:w="7324" w:type="dxa"/>
            <w:shd w:val="clear" w:color="auto" w:fill="auto"/>
          </w:tcPr>
          <w:p w14:paraId="2AE57B16" w14:textId="7CFF275D" w:rsidR="00535AF7" w:rsidRPr="0003653F" w:rsidRDefault="00535AF7" w:rsidP="00C10B80">
            <w:pPr>
              <w:pStyle w:val="TableText"/>
              <w:spacing w:beforeLines="60" w:before="144" w:after="0"/>
              <w:rPr>
                <w:rFonts w:cs="Arial"/>
              </w:rPr>
            </w:pPr>
            <w:r w:rsidRPr="0003653F">
              <w:rPr>
                <w:rFonts w:cs="Arial"/>
              </w:rPr>
              <w:t xml:space="preserve">A pass granted to a </w:t>
            </w:r>
            <w:r w:rsidR="00893B2F">
              <w:rPr>
                <w:rFonts w:cs="Arial"/>
              </w:rPr>
              <w:t>learner</w:t>
            </w:r>
            <w:r w:rsidRPr="0003653F">
              <w:rPr>
                <w:rFonts w:cs="Arial"/>
              </w:rPr>
              <w:t xml:space="preserve"> where in specified circumstances beyond the </w:t>
            </w:r>
            <w:r w:rsidR="00893B2F">
              <w:rPr>
                <w:rFonts w:cs="Arial"/>
              </w:rPr>
              <w:t>learner</w:t>
            </w:r>
            <w:r w:rsidRPr="0003653F">
              <w:rPr>
                <w:rFonts w:cs="Arial"/>
              </w:rPr>
              <w:t>’s control they are unable to undertake or are i</w:t>
            </w:r>
            <w:r w:rsidR="000D69E4" w:rsidRPr="0003653F">
              <w:rPr>
                <w:rFonts w:cs="Arial"/>
              </w:rPr>
              <w:t xml:space="preserve">mpaired in the completion of a summative </w:t>
            </w:r>
            <w:r w:rsidRPr="0003653F">
              <w:rPr>
                <w:rFonts w:cs="Arial"/>
              </w:rPr>
              <w:t xml:space="preserve">assessment. </w:t>
            </w:r>
          </w:p>
          <w:p w14:paraId="40AFD189" w14:textId="77777777" w:rsidR="00B95464" w:rsidRPr="0003653F" w:rsidRDefault="00B95464" w:rsidP="00535AF7">
            <w:pPr>
              <w:pStyle w:val="TableText"/>
              <w:spacing w:before="0" w:after="0"/>
              <w:rPr>
                <w:rFonts w:cs="Arial"/>
                <w:bCs/>
                <w:iCs/>
                <w:color w:val="000000"/>
                <w:lang w:val="en-NZ"/>
              </w:rPr>
            </w:pPr>
          </w:p>
        </w:tc>
      </w:tr>
      <w:tr w:rsidR="000836DB" w:rsidRPr="0003653F" w14:paraId="2CA2EA50" w14:textId="77777777" w:rsidTr="000F3175">
        <w:tc>
          <w:tcPr>
            <w:tcW w:w="2281" w:type="dxa"/>
            <w:shd w:val="clear" w:color="auto" w:fill="auto"/>
          </w:tcPr>
          <w:p w14:paraId="6FD4B5EC" w14:textId="77777777" w:rsidR="000836DB" w:rsidRPr="0003653F" w:rsidRDefault="00D72A1B" w:rsidP="00D03B05">
            <w:pPr>
              <w:pStyle w:val="TableText"/>
              <w:spacing w:beforeLines="60" w:before="144" w:after="0"/>
              <w:rPr>
                <w:rFonts w:cs="Arial"/>
                <w:b/>
                <w:lang w:val="en-NZ"/>
              </w:rPr>
            </w:pPr>
            <w:r w:rsidRPr="0003653F">
              <w:rPr>
                <w:rFonts w:cs="Arial"/>
                <w:b/>
                <w:lang w:val="en-NZ"/>
              </w:rPr>
              <w:t>Assessment</w:t>
            </w:r>
          </w:p>
        </w:tc>
        <w:tc>
          <w:tcPr>
            <w:tcW w:w="7324" w:type="dxa"/>
            <w:shd w:val="clear" w:color="auto" w:fill="auto"/>
          </w:tcPr>
          <w:p w14:paraId="4E5402D7" w14:textId="77777777" w:rsidR="00FE65C4" w:rsidRPr="0003653F" w:rsidRDefault="00FE65C4" w:rsidP="00FE65C4">
            <w:pPr>
              <w:pStyle w:val="TableText"/>
              <w:spacing w:beforeLines="60" w:before="144"/>
              <w:ind w:right="240"/>
              <w:rPr>
                <w:rFonts w:cs="Arial"/>
                <w:lang w:val="en-NZ"/>
              </w:rPr>
            </w:pPr>
            <w:r w:rsidRPr="0003653F">
              <w:rPr>
                <w:rFonts w:cs="Arial"/>
                <w:lang w:val="en-NZ"/>
              </w:rPr>
              <w:t xml:space="preserve">The collection and evaluation of evidence to establish the level of an individual’s performance against a set of outcomes.  </w:t>
            </w:r>
          </w:p>
          <w:p w14:paraId="07FDBF5C" w14:textId="77777777" w:rsidR="000836DB" w:rsidRPr="0003653F" w:rsidRDefault="000836DB" w:rsidP="006241D2">
            <w:pPr>
              <w:pStyle w:val="TableText"/>
              <w:spacing w:before="0" w:after="0"/>
              <w:rPr>
                <w:rFonts w:cs="Arial"/>
                <w:highlight w:val="green"/>
                <w:lang w:val="en-NZ"/>
              </w:rPr>
            </w:pPr>
          </w:p>
        </w:tc>
      </w:tr>
      <w:tr w:rsidR="00FE65C4" w:rsidRPr="0003653F" w14:paraId="32779F44" w14:textId="77777777" w:rsidTr="000F3175">
        <w:tc>
          <w:tcPr>
            <w:tcW w:w="2281" w:type="dxa"/>
            <w:shd w:val="clear" w:color="auto" w:fill="auto"/>
          </w:tcPr>
          <w:p w14:paraId="0103DA41" w14:textId="77777777" w:rsidR="00FE65C4" w:rsidRPr="0003653F" w:rsidRDefault="00FE65C4" w:rsidP="00D03B05">
            <w:pPr>
              <w:pStyle w:val="TableText"/>
              <w:spacing w:beforeLines="60" w:before="144" w:after="0"/>
              <w:rPr>
                <w:rFonts w:cs="Arial"/>
                <w:b/>
                <w:lang w:val="en-NZ"/>
              </w:rPr>
            </w:pPr>
            <w:r w:rsidRPr="0003653F">
              <w:rPr>
                <w:rFonts w:cs="Arial"/>
                <w:b/>
                <w:lang w:val="en-NZ"/>
              </w:rPr>
              <w:t>Assessment criteria</w:t>
            </w:r>
          </w:p>
        </w:tc>
        <w:tc>
          <w:tcPr>
            <w:tcW w:w="7324" w:type="dxa"/>
            <w:shd w:val="clear" w:color="auto" w:fill="auto"/>
          </w:tcPr>
          <w:p w14:paraId="0BD8A544" w14:textId="77777777" w:rsidR="00FE65C4" w:rsidRPr="0003653F" w:rsidRDefault="00FE65C4" w:rsidP="00FE65C4">
            <w:pPr>
              <w:pStyle w:val="TableText"/>
              <w:spacing w:beforeLines="60" w:before="144"/>
              <w:ind w:right="240"/>
              <w:rPr>
                <w:rFonts w:cs="Arial"/>
                <w:lang w:val="en-NZ"/>
              </w:rPr>
            </w:pPr>
            <w:r w:rsidRPr="0003653F">
              <w:rPr>
                <w:rFonts w:cs="Arial"/>
                <w:lang w:val="en-NZ"/>
              </w:rPr>
              <w:t>The criteria against which the standard of performance required to meet one or more stated outcomes is assessed.</w:t>
            </w:r>
          </w:p>
          <w:p w14:paraId="1148D748" w14:textId="77777777" w:rsidR="002C1560" w:rsidRPr="0003653F" w:rsidRDefault="002C1560" w:rsidP="007D1F57">
            <w:pPr>
              <w:pStyle w:val="TableText"/>
              <w:spacing w:before="0" w:after="0"/>
              <w:rPr>
                <w:rFonts w:cs="Arial"/>
                <w:lang w:val="en-NZ"/>
              </w:rPr>
            </w:pPr>
          </w:p>
        </w:tc>
      </w:tr>
      <w:tr w:rsidR="00321CAD" w:rsidRPr="0003653F" w14:paraId="49A2108F" w14:textId="77777777" w:rsidTr="000F3175">
        <w:tc>
          <w:tcPr>
            <w:tcW w:w="2281" w:type="dxa"/>
            <w:shd w:val="clear" w:color="auto" w:fill="auto"/>
          </w:tcPr>
          <w:p w14:paraId="3225B514" w14:textId="77777777" w:rsidR="00321CAD" w:rsidRPr="0003653F" w:rsidRDefault="00321CAD" w:rsidP="00D03B05">
            <w:pPr>
              <w:pStyle w:val="TableText"/>
              <w:spacing w:beforeLines="60" w:before="144" w:after="0"/>
              <w:rPr>
                <w:rFonts w:cs="Arial"/>
                <w:b/>
                <w:lang w:val="en-NZ"/>
              </w:rPr>
            </w:pPr>
            <w:r w:rsidRPr="0003653F">
              <w:rPr>
                <w:rFonts w:cs="Arial"/>
                <w:b/>
                <w:lang w:val="en-NZ"/>
              </w:rPr>
              <w:t xml:space="preserve">Assessment </w:t>
            </w:r>
            <w:r w:rsidR="00B72C04" w:rsidRPr="0003653F">
              <w:rPr>
                <w:rFonts w:cs="Arial"/>
                <w:b/>
                <w:lang w:val="en-NZ"/>
              </w:rPr>
              <w:t>e</w:t>
            </w:r>
            <w:r w:rsidRPr="0003653F">
              <w:rPr>
                <w:rFonts w:cs="Arial"/>
                <w:b/>
                <w:lang w:val="en-NZ"/>
              </w:rPr>
              <w:t>vidence</w:t>
            </w:r>
          </w:p>
        </w:tc>
        <w:tc>
          <w:tcPr>
            <w:tcW w:w="7324" w:type="dxa"/>
            <w:shd w:val="clear" w:color="auto" w:fill="auto"/>
          </w:tcPr>
          <w:p w14:paraId="6BA09964" w14:textId="0FCFD6A9" w:rsidR="00FE65C4" w:rsidRPr="0003653F" w:rsidRDefault="00FE65C4" w:rsidP="00FE65C4">
            <w:pPr>
              <w:pStyle w:val="TableText"/>
              <w:spacing w:beforeLines="60" w:before="144"/>
              <w:ind w:right="240"/>
              <w:rPr>
                <w:rFonts w:cs="Arial"/>
                <w:lang w:val="en-NZ"/>
              </w:rPr>
            </w:pPr>
            <w:r w:rsidRPr="0003653F">
              <w:rPr>
                <w:rFonts w:cs="Arial"/>
                <w:lang w:val="en-NZ"/>
              </w:rPr>
              <w:t xml:space="preserve">A </w:t>
            </w:r>
            <w:r w:rsidR="00893B2F">
              <w:rPr>
                <w:rFonts w:cs="Arial"/>
                <w:lang w:val="en-NZ"/>
              </w:rPr>
              <w:t>learner</w:t>
            </w:r>
            <w:r w:rsidRPr="0003653F">
              <w:rPr>
                <w:rFonts w:cs="Arial"/>
                <w:lang w:val="en-NZ"/>
              </w:rPr>
              <w:t>’s work on which assessment decisions are based (regardless of format or medium).  Evidence must be:</w:t>
            </w:r>
          </w:p>
          <w:p w14:paraId="0B2980B6" w14:textId="77777777" w:rsidR="00FE65C4" w:rsidRPr="0003653F" w:rsidRDefault="006E061B" w:rsidP="00566D87">
            <w:pPr>
              <w:pStyle w:val="TableText"/>
              <w:numPr>
                <w:ilvl w:val="0"/>
                <w:numId w:val="7"/>
              </w:numPr>
              <w:spacing w:before="0"/>
              <w:ind w:left="439" w:right="245"/>
              <w:rPr>
                <w:rFonts w:cs="Arial"/>
                <w:lang w:val="en-NZ"/>
              </w:rPr>
            </w:pPr>
            <w:r w:rsidRPr="0003653F">
              <w:rPr>
                <w:rFonts w:cs="Arial"/>
                <w:lang w:val="en-NZ"/>
              </w:rPr>
              <w:t>V</w:t>
            </w:r>
            <w:r w:rsidR="00FE65C4" w:rsidRPr="0003653F">
              <w:rPr>
                <w:rFonts w:cs="Arial"/>
                <w:lang w:val="en-NZ"/>
              </w:rPr>
              <w:t>alid</w:t>
            </w:r>
            <w:r w:rsidRPr="0003653F">
              <w:rPr>
                <w:rFonts w:cs="Arial"/>
                <w:lang w:val="en-NZ"/>
              </w:rPr>
              <w:t>:</w:t>
            </w:r>
            <w:r w:rsidR="00FE65C4" w:rsidRPr="0003653F">
              <w:rPr>
                <w:rFonts w:cs="Arial"/>
                <w:lang w:val="en-NZ"/>
              </w:rPr>
              <w:t xml:space="preserve"> fit for purpose, so that the assessment focuses on assessing the attainment or otherwise of the related learning outcomes</w:t>
            </w:r>
          </w:p>
          <w:p w14:paraId="523B8D39" w14:textId="77777777" w:rsidR="00FE65C4" w:rsidRPr="0003653F" w:rsidRDefault="006E061B" w:rsidP="00566D87">
            <w:pPr>
              <w:pStyle w:val="TableText"/>
              <w:numPr>
                <w:ilvl w:val="0"/>
                <w:numId w:val="7"/>
              </w:numPr>
              <w:spacing w:before="0"/>
              <w:ind w:left="439" w:right="245"/>
              <w:rPr>
                <w:rFonts w:cs="Arial"/>
                <w:lang w:val="en-NZ"/>
              </w:rPr>
            </w:pPr>
            <w:r w:rsidRPr="0003653F">
              <w:rPr>
                <w:rFonts w:cs="Arial"/>
                <w:lang w:val="en-NZ"/>
              </w:rPr>
              <w:t>D</w:t>
            </w:r>
            <w:r w:rsidR="00FE65C4" w:rsidRPr="0003653F">
              <w:rPr>
                <w:rFonts w:cs="Arial"/>
                <w:lang w:val="en-NZ"/>
              </w:rPr>
              <w:t>irect</w:t>
            </w:r>
            <w:r w:rsidRPr="0003653F">
              <w:rPr>
                <w:rFonts w:cs="Arial"/>
                <w:lang w:val="en-NZ"/>
              </w:rPr>
              <w:t>:</w:t>
            </w:r>
            <w:r w:rsidR="00FE65C4" w:rsidRPr="0003653F">
              <w:rPr>
                <w:rFonts w:cs="Arial"/>
                <w:lang w:val="en-NZ"/>
              </w:rPr>
              <w:t xml:space="preserve"> assessment activities will be as similar as possible to the conditions of actual performance</w:t>
            </w:r>
          </w:p>
          <w:p w14:paraId="51A5AC02" w14:textId="77777777" w:rsidR="00FE65C4" w:rsidRPr="0003653F" w:rsidRDefault="006E061B" w:rsidP="00566D87">
            <w:pPr>
              <w:pStyle w:val="TableText"/>
              <w:numPr>
                <w:ilvl w:val="0"/>
                <w:numId w:val="7"/>
              </w:numPr>
              <w:spacing w:before="0"/>
              <w:ind w:left="439" w:right="245"/>
              <w:rPr>
                <w:rFonts w:cs="Arial"/>
                <w:lang w:val="en-NZ"/>
              </w:rPr>
            </w:pPr>
            <w:r w:rsidRPr="0003653F">
              <w:rPr>
                <w:rFonts w:cs="Arial"/>
                <w:lang w:val="en-NZ"/>
              </w:rPr>
              <w:t>A</w:t>
            </w:r>
            <w:r w:rsidR="00FE65C4" w:rsidRPr="0003653F">
              <w:rPr>
                <w:rFonts w:cs="Arial"/>
                <w:lang w:val="en-NZ"/>
              </w:rPr>
              <w:t>uthentic</w:t>
            </w:r>
            <w:r w:rsidRPr="0003653F">
              <w:rPr>
                <w:rFonts w:cs="Arial"/>
                <w:lang w:val="en-NZ"/>
              </w:rPr>
              <w:t xml:space="preserve">: </w:t>
            </w:r>
            <w:r w:rsidR="00FE65C4" w:rsidRPr="0003653F">
              <w:rPr>
                <w:rFonts w:cs="Arial"/>
                <w:lang w:val="en-NZ"/>
              </w:rPr>
              <w:t xml:space="preserve">the assessor will be confident that the work being assessed was done by the person being assessed </w:t>
            </w:r>
          </w:p>
          <w:p w14:paraId="386B2678" w14:textId="2ADA5863" w:rsidR="00005457" w:rsidRPr="00343B77" w:rsidRDefault="006E061B" w:rsidP="00FF03D9">
            <w:pPr>
              <w:pStyle w:val="TableText"/>
              <w:numPr>
                <w:ilvl w:val="0"/>
                <w:numId w:val="7"/>
              </w:numPr>
              <w:spacing w:before="0" w:after="0"/>
              <w:ind w:left="432" w:right="245"/>
              <w:rPr>
                <w:rFonts w:cs="Arial"/>
                <w:lang w:val="en-NZ"/>
              </w:rPr>
            </w:pPr>
            <w:r w:rsidRPr="00343B77">
              <w:rPr>
                <w:rFonts w:cs="Arial"/>
                <w:lang w:val="en-NZ"/>
              </w:rPr>
              <w:t>S</w:t>
            </w:r>
            <w:r w:rsidR="00FE65C4" w:rsidRPr="00343B77">
              <w:rPr>
                <w:rFonts w:cs="Arial"/>
                <w:lang w:val="en-NZ"/>
              </w:rPr>
              <w:t>ufficient</w:t>
            </w:r>
            <w:r w:rsidRPr="00343B77">
              <w:rPr>
                <w:rFonts w:cs="Arial"/>
                <w:lang w:val="en-NZ"/>
              </w:rPr>
              <w:t xml:space="preserve">: </w:t>
            </w:r>
            <w:r w:rsidR="00FE65C4" w:rsidRPr="00343B77">
              <w:rPr>
                <w:rFonts w:cs="Arial"/>
                <w:lang w:val="en-NZ"/>
              </w:rPr>
              <w:t>the evidence will establish with confidence that all learning outcomes have been and could be repeated with consistency.</w:t>
            </w:r>
          </w:p>
          <w:p w14:paraId="01AFA037" w14:textId="77777777" w:rsidR="00147613" w:rsidRPr="0003653F" w:rsidRDefault="00147613" w:rsidP="006241D2">
            <w:pPr>
              <w:pStyle w:val="TableText"/>
              <w:spacing w:before="0" w:after="0"/>
              <w:rPr>
                <w:rFonts w:cs="Arial"/>
                <w:lang w:val="en-NZ"/>
              </w:rPr>
            </w:pPr>
          </w:p>
        </w:tc>
      </w:tr>
      <w:tr w:rsidR="0067337F" w:rsidRPr="0003653F" w14:paraId="42B1864C" w14:textId="77777777" w:rsidTr="000F3175">
        <w:tc>
          <w:tcPr>
            <w:tcW w:w="2281" w:type="dxa"/>
            <w:shd w:val="clear" w:color="auto" w:fill="auto"/>
          </w:tcPr>
          <w:p w14:paraId="696208BA" w14:textId="77777777" w:rsidR="0067337F" w:rsidRPr="0003653F" w:rsidRDefault="002A3F16" w:rsidP="00FE65C4">
            <w:pPr>
              <w:pStyle w:val="TableText"/>
              <w:spacing w:beforeLines="60" w:before="144" w:after="0"/>
              <w:rPr>
                <w:rFonts w:cs="Arial"/>
                <w:b/>
                <w:lang w:val="en-NZ"/>
              </w:rPr>
            </w:pPr>
            <w:r>
              <w:rPr>
                <w:rFonts w:cs="Arial"/>
                <w:b/>
                <w:lang w:val="en-NZ"/>
              </w:rPr>
              <w:t xml:space="preserve">Recognition </w:t>
            </w:r>
            <w:r w:rsidR="00D72A1B" w:rsidRPr="0003653F">
              <w:rPr>
                <w:rFonts w:cs="Arial"/>
                <w:b/>
                <w:lang w:val="en-NZ"/>
              </w:rPr>
              <w:t xml:space="preserve">of </w:t>
            </w:r>
            <w:r w:rsidR="00FE65C4" w:rsidRPr="0003653F">
              <w:rPr>
                <w:rFonts w:cs="Arial"/>
                <w:b/>
                <w:lang w:val="en-NZ"/>
              </w:rPr>
              <w:t xml:space="preserve">prior learning </w:t>
            </w:r>
            <w:r w:rsidR="00D72A1B" w:rsidRPr="0003653F">
              <w:rPr>
                <w:rFonts w:cs="Arial"/>
                <w:b/>
                <w:lang w:val="en-NZ"/>
              </w:rPr>
              <w:t>(</w:t>
            </w:r>
            <w:r>
              <w:rPr>
                <w:rFonts w:cs="Arial"/>
                <w:b/>
                <w:lang w:val="en-NZ"/>
              </w:rPr>
              <w:t>R</w:t>
            </w:r>
            <w:r w:rsidR="00D72A1B" w:rsidRPr="0003653F">
              <w:rPr>
                <w:rFonts w:cs="Arial"/>
                <w:b/>
                <w:lang w:val="en-NZ"/>
              </w:rPr>
              <w:t>PL)</w:t>
            </w:r>
          </w:p>
        </w:tc>
        <w:tc>
          <w:tcPr>
            <w:tcW w:w="7324" w:type="dxa"/>
            <w:shd w:val="clear" w:color="auto" w:fill="auto"/>
          </w:tcPr>
          <w:p w14:paraId="70F5C30D" w14:textId="77777777" w:rsidR="0067337F" w:rsidRPr="0003653F" w:rsidRDefault="00D72A1B" w:rsidP="00D03B05">
            <w:pPr>
              <w:pStyle w:val="TableText"/>
              <w:spacing w:beforeLines="60" w:before="144" w:after="0"/>
              <w:rPr>
                <w:rFonts w:cs="Arial"/>
                <w:lang w:val="en-NZ"/>
              </w:rPr>
            </w:pPr>
            <w:r w:rsidRPr="0003653F">
              <w:rPr>
                <w:rFonts w:cs="Arial"/>
                <w:lang w:val="en-NZ"/>
              </w:rPr>
              <w:t>The process by which formal learning and experience is matched against learning outcomes.  This includes credit transfer</w:t>
            </w:r>
            <w:r w:rsidR="00E262F1" w:rsidRPr="0003653F">
              <w:rPr>
                <w:rFonts w:cs="Arial"/>
                <w:lang w:val="en-NZ"/>
              </w:rPr>
              <w:t xml:space="preserve"> </w:t>
            </w:r>
            <w:r w:rsidR="000A47AA" w:rsidRPr="0003653F">
              <w:rPr>
                <w:rFonts w:cs="Arial"/>
                <w:lang w:val="en-NZ"/>
              </w:rPr>
              <w:t>(CT)</w:t>
            </w:r>
            <w:r w:rsidRPr="0003653F">
              <w:rPr>
                <w:rFonts w:cs="Arial"/>
                <w:lang w:val="en-NZ"/>
              </w:rPr>
              <w:t>, cross credit</w:t>
            </w:r>
            <w:r w:rsidR="000A47AA" w:rsidRPr="0003653F">
              <w:rPr>
                <w:rFonts w:cs="Arial"/>
                <w:lang w:val="en-NZ"/>
              </w:rPr>
              <w:t xml:space="preserve"> (CC)</w:t>
            </w:r>
            <w:r w:rsidRPr="0003653F">
              <w:rPr>
                <w:rFonts w:cs="Arial"/>
                <w:lang w:val="en-NZ"/>
              </w:rPr>
              <w:t xml:space="preserve"> and </w:t>
            </w:r>
            <w:r w:rsidR="002A3F16">
              <w:rPr>
                <w:rFonts w:cs="Arial"/>
                <w:lang w:val="en-NZ"/>
              </w:rPr>
              <w:t>assessment of prior learning (APL)/</w:t>
            </w:r>
            <w:r w:rsidRPr="0003653F">
              <w:rPr>
                <w:rFonts w:cs="Arial"/>
                <w:lang w:val="en-NZ"/>
              </w:rPr>
              <w:t>recognition of prior learning</w:t>
            </w:r>
            <w:r w:rsidR="000A47AA" w:rsidRPr="0003653F">
              <w:rPr>
                <w:rFonts w:cs="Arial"/>
                <w:lang w:val="en-NZ"/>
              </w:rPr>
              <w:t xml:space="preserve"> (RPL)</w:t>
            </w:r>
            <w:r w:rsidRPr="0003653F">
              <w:rPr>
                <w:rFonts w:cs="Arial"/>
                <w:lang w:val="en-NZ"/>
              </w:rPr>
              <w:t>.</w:t>
            </w:r>
          </w:p>
          <w:p w14:paraId="1F48B0C0" w14:textId="77777777" w:rsidR="0067337F" w:rsidRPr="0003653F" w:rsidRDefault="0067337F" w:rsidP="006241D2">
            <w:pPr>
              <w:pStyle w:val="TableText"/>
              <w:spacing w:before="0" w:after="0"/>
              <w:rPr>
                <w:rFonts w:cs="Arial"/>
                <w:lang w:val="en-NZ"/>
              </w:rPr>
            </w:pPr>
          </w:p>
        </w:tc>
      </w:tr>
      <w:tr w:rsidR="00FE65C4" w:rsidRPr="0003653F" w14:paraId="3487F839" w14:textId="77777777" w:rsidTr="000F3175">
        <w:tc>
          <w:tcPr>
            <w:tcW w:w="2281" w:type="dxa"/>
            <w:shd w:val="clear" w:color="auto" w:fill="auto"/>
          </w:tcPr>
          <w:p w14:paraId="2F79F591" w14:textId="77777777" w:rsidR="00FE65C4" w:rsidRPr="0003653F" w:rsidRDefault="00FE65C4" w:rsidP="00D03B05">
            <w:pPr>
              <w:pStyle w:val="TableText"/>
              <w:spacing w:beforeLines="60" w:before="144" w:after="0"/>
              <w:rPr>
                <w:rFonts w:cs="Arial"/>
                <w:b/>
                <w:lang w:val="en-NZ"/>
              </w:rPr>
            </w:pPr>
            <w:r w:rsidRPr="0003653F">
              <w:rPr>
                <w:rFonts w:cs="Arial"/>
                <w:b/>
                <w:lang w:val="en-NZ"/>
              </w:rPr>
              <w:t>Assessment standards</w:t>
            </w:r>
          </w:p>
        </w:tc>
        <w:tc>
          <w:tcPr>
            <w:tcW w:w="7324" w:type="dxa"/>
            <w:shd w:val="clear" w:color="auto" w:fill="auto"/>
          </w:tcPr>
          <w:p w14:paraId="30512868" w14:textId="66509E42" w:rsidR="00FE65C4" w:rsidRPr="0003653F" w:rsidRDefault="00FE65C4" w:rsidP="004A4158">
            <w:pPr>
              <w:pStyle w:val="TableText"/>
              <w:spacing w:beforeLines="60" w:before="144"/>
              <w:rPr>
                <w:rFonts w:cs="Arial"/>
                <w:lang w:val="en-NZ"/>
              </w:rPr>
            </w:pPr>
            <w:r w:rsidRPr="0003653F">
              <w:rPr>
                <w:rFonts w:cs="Arial"/>
                <w:lang w:val="en-NZ"/>
              </w:rPr>
              <w:t xml:space="preserve">Unit standards and achievement standards listed </w:t>
            </w:r>
            <w:r w:rsidR="006E061B" w:rsidRPr="0003653F">
              <w:rPr>
                <w:rFonts w:cs="Arial"/>
                <w:lang w:val="en-NZ"/>
              </w:rPr>
              <w:t>i</w:t>
            </w:r>
            <w:r w:rsidRPr="0003653F">
              <w:rPr>
                <w:rFonts w:cs="Arial"/>
                <w:lang w:val="en-NZ"/>
              </w:rPr>
              <w:t>n the Directory of Assessment Standards</w:t>
            </w:r>
            <w:r w:rsidR="00C10B80" w:rsidRPr="0003653F">
              <w:rPr>
                <w:rFonts w:cs="Arial"/>
                <w:lang w:val="en-NZ"/>
              </w:rPr>
              <w:t xml:space="preserve"> (DAS)</w:t>
            </w:r>
            <w:r w:rsidRPr="0003653F">
              <w:rPr>
                <w:rFonts w:cs="Arial"/>
                <w:lang w:val="en-NZ"/>
              </w:rPr>
              <w:t>.</w:t>
            </w:r>
          </w:p>
        </w:tc>
      </w:tr>
      <w:tr w:rsidR="00806BDB" w:rsidRPr="0003653F" w14:paraId="788C6801" w14:textId="77777777" w:rsidTr="004A4158">
        <w:tc>
          <w:tcPr>
            <w:tcW w:w="2281" w:type="dxa"/>
            <w:shd w:val="clear" w:color="auto" w:fill="auto"/>
          </w:tcPr>
          <w:p w14:paraId="5F4A5F66" w14:textId="77777777" w:rsidR="00806BDB" w:rsidRPr="0003653F" w:rsidRDefault="00D72A1B" w:rsidP="00D03B05">
            <w:pPr>
              <w:pStyle w:val="TableText"/>
              <w:spacing w:beforeLines="60" w:before="144" w:after="0"/>
              <w:rPr>
                <w:rFonts w:cs="Arial"/>
                <w:b/>
                <w:lang w:val="en-NZ"/>
              </w:rPr>
            </w:pPr>
            <w:r w:rsidRPr="0003653F">
              <w:rPr>
                <w:rFonts w:cs="Arial"/>
                <w:b/>
                <w:lang w:val="en-NZ"/>
              </w:rPr>
              <w:t>Award</w:t>
            </w:r>
          </w:p>
        </w:tc>
        <w:tc>
          <w:tcPr>
            <w:tcW w:w="7324" w:type="dxa"/>
            <w:shd w:val="clear" w:color="auto" w:fill="FFFFFF" w:themeFill="background1"/>
          </w:tcPr>
          <w:p w14:paraId="433AAAD7" w14:textId="77777777" w:rsidR="00FE65C4" w:rsidRPr="004A4158" w:rsidRDefault="00FE65C4" w:rsidP="00FE65C4">
            <w:pPr>
              <w:pStyle w:val="TableText"/>
              <w:spacing w:beforeLines="60" w:before="144"/>
              <w:rPr>
                <w:rFonts w:cs="Arial"/>
                <w:lang w:val="en-NZ"/>
              </w:rPr>
            </w:pPr>
            <w:r w:rsidRPr="004A4158">
              <w:rPr>
                <w:rFonts w:cs="Arial"/>
                <w:lang w:val="en-NZ"/>
              </w:rPr>
              <w:t>Either:</w:t>
            </w:r>
          </w:p>
          <w:p w14:paraId="4D8139F5" w14:textId="77777777" w:rsidR="004A4158" w:rsidRPr="004A4158" w:rsidRDefault="00FE65C4" w:rsidP="004A4158">
            <w:pPr>
              <w:pStyle w:val="TableText"/>
              <w:numPr>
                <w:ilvl w:val="0"/>
                <w:numId w:val="7"/>
              </w:numPr>
              <w:shd w:val="clear" w:color="auto" w:fill="FFFFFF" w:themeFill="background1"/>
              <w:spacing w:before="0"/>
              <w:ind w:left="439" w:right="245"/>
              <w:rPr>
                <w:rFonts w:cs="Arial"/>
                <w:iCs/>
                <w:lang w:val="en-NZ"/>
              </w:rPr>
            </w:pPr>
            <w:r w:rsidRPr="004A4158">
              <w:rPr>
                <w:rFonts w:cs="Arial"/>
                <w:lang w:val="en-NZ"/>
              </w:rPr>
              <w:t>a certificate</w:t>
            </w:r>
            <w:r w:rsidR="002A3F16" w:rsidRPr="004A4158">
              <w:rPr>
                <w:rFonts w:cs="Arial"/>
                <w:lang w:val="en-NZ"/>
              </w:rPr>
              <w:t xml:space="preserve"> or </w:t>
            </w:r>
            <w:r w:rsidRPr="004A4158">
              <w:rPr>
                <w:rFonts w:cs="Arial"/>
                <w:lang w:val="en-NZ"/>
              </w:rPr>
              <w:t>diploma or other qualification that is listed on the New Zealan</w:t>
            </w:r>
            <w:r w:rsidR="006E061B" w:rsidRPr="004A4158">
              <w:rPr>
                <w:rFonts w:cs="Arial"/>
                <w:lang w:val="en-NZ"/>
              </w:rPr>
              <w:t>d Qualifications Framework</w:t>
            </w:r>
            <w:r w:rsidRPr="004A4158">
              <w:rPr>
                <w:rFonts w:cs="Arial"/>
                <w:lang w:val="en-NZ"/>
              </w:rPr>
              <w:t>; or</w:t>
            </w:r>
          </w:p>
          <w:p w14:paraId="49590E75" w14:textId="2FBF0074" w:rsidR="00806BDB" w:rsidRPr="004A4158" w:rsidRDefault="00FE65C4" w:rsidP="004A4158">
            <w:pPr>
              <w:pStyle w:val="TableText"/>
              <w:numPr>
                <w:ilvl w:val="0"/>
                <w:numId w:val="7"/>
              </w:numPr>
              <w:shd w:val="clear" w:color="auto" w:fill="FFFFFF" w:themeFill="background1"/>
              <w:spacing w:before="0"/>
              <w:ind w:left="439" w:right="245"/>
              <w:rPr>
                <w:rFonts w:cs="Arial"/>
                <w:iCs/>
                <w:lang w:val="en-NZ"/>
              </w:rPr>
            </w:pPr>
            <w:r w:rsidRPr="004A4158">
              <w:rPr>
                <w:rFonts w:cs="Arial"/>
                <w:lang w:val="en-NZ"/>
              </w:rPr>
              <w:lastRenderedPageBreak/>
              <w:t xml:space="preserve">a certificate or other document granted in recognition of a </w:t>
            </w:r>
            <w:r w:rsidR="00893B2F" w:rsidRPr="004A4158">
              <w:rPr>
                <w:rFonts w:cs="Arial"/>
                <w:lang w:val="en-NZ"/>
              </w:rPr>
              <w:t>learner</w:t>
            </w:r>
            <w:r w:rsidRPr="004A4158">
              <w:rPr>
                <w:rFonts w:cs="Arial"/>
                <w:lang w:val="en-NZ"/>
              </w:rPr>
              <w:t>'s achievement and compl</w:t>
            </w:r>
            <w:r w:rsidR="006E061B" w:rsidRPr="004A4158">
              <w:rPr>
                <w:rFonts w:cs="Arial"/>
                <w:lang w:val="en-NZ"/>
              </w:rPr>
              <w:t xml:space="preserve">etion of a training scheme </w:t>
            </w:r>
          </w:p>
        </w:tc>
      </w:tr>
      <w:tr w:rsidR="00F569EB" w:rsidRPr="0003653F" w14:paraId="61769019" w14:textId="77777777" w:rsidTr="000F3175">
        <w:tc>
          <w:tcPr>
            <w:tcW w:w="2281" w:type="dxa"/>
            <w:shd w:val="clear" w:color="auto" w:fill="auto"/>
          </w:tcPr>
          <w:p w14:paraId="3D7EF5D6" w14:textId="77777777" w:rsidR="00F569EB" w:rsidRPr="0003653F" w:rsidRDefault="00D72A1B" w:rsidP="00D03B05">
            <w:pPr>
              <w:pStyle w:val="TableText"/>
              <w:spacing w:beforeLines="60" w:before="144" w:after="0"/>
              <w:rPr>
                <w:rFonts w:cs="Arial"/>
                <w:b/>
                <w:lang w:val="en-NZ"/>
              </w:rPr>
            </w:pPr>
            <w:r w:rsidRPr="0003653F">
              <w:rPr>
                <w:rFonts w:cs="Arial"/>
                <w:b/>
                <w:lang w:val="en-NZ"/>
              </w:rPr>
              <w:lastRenderedPageBreak/>
              <w:t>Campus</w:t>
            </w:r>
          </w:p>
        </w:tc>
        <w:tc>
          <w:tcPr>
            <w:tcW w:w="7324" w:type="dxa"/>
            <w:shd w:val="clear" w:color="auto" w:fill="auto"/>
          </w:tcPr>
          <w:p w14:paraId="4AA9D5CD" w14:textId="70EFE506" w:rsidR="005C4BE5" w:rsidRPr="0003653F" w:rsidRDefault="00D72A1B" w:rsidP="002C1560">
            <w:pPr>
              <w:pStyle w:val="TableText"/>
              <w:spacing w:beforeLines="60" w:before="144" w:after="0"/>
              <w:ind w:right="240"/>
              <w:rPr>
                <w:rFonts w:cs="Arial"/>
                <w:i/>
                <w:lang w:val="en-NZ"/>
              </w:rPr>
            </w:pPr>
            <w:r w:rsidRPr="0003653F">
              <w:rPr>
                <w:rFonts w:cs="Arial"/>
                <w:iCs/>
                <w:lang w:val="en-NZ"/>
              </w:rPr>
              <w:t xml:space="preserve">All land and premises in the possession or occupation of </w:t>
            </w:r>
            <w:r w:rsidR="00893B2F">
              <w:rPr>
                <w:rFonts w:cs="Arial"/>
                <w:iCs/>
                <w:lang w:val="en-NZ"/>
              </w:rPr>
              <w:t>ATNZ</w:t>
            </w:r>
            <w:r w:rsidRPr="0003653F">
              <w:rPr>
                <w:rFonts w:cs="Arial"/>
                <w:iCs/>
                <w:lang w:val="en-NZ"/>
              </w:rPr>
              <w:t>.</w:t>
            </w:r>
            <w:r w:rsidR="005C4BE5" w:rsidRPr="0003653F">
              <w:rPr>
                <w:rFonts w:cs="Arial"/>
                <w:iCs/>
                <w:lang w:val="en-NZ"/>
              </w:rPr>
              <w:t xml:space="preserve">  </w:t>
            </w:r>
          </w:p>
          <w:p w14:paraId="707C091D" w14:textId="21E605DE" w:rsidR="00F569EB" w:rsidRPr="0003653F" w:rsidRDefault="00771BEF" w:rsidP="00D032B5">
            <w:pPr>
              <w:pStyle w:val="TableText"/>
              <w:spacing w:before="0" w:after="0"/>
              <w:rPr>
                <w:rFonts w:cs="Arial"/>
                <w:iCs/>
                <w:lang w:val="en-NZ"/>
              </w:rPr>
            </w:pPr>
            <w:r>
              <w:rPr>
                <w:rFonts w:cs="Arial"/>
                <w:iCs/>
                <w:lang w:val="en-NZ"/>
              </w:rPr>
              <w:t xml:space="preserve"> or land and premises that </w:t>
            </w:r>
            <w:r w:rsidR="00893B2F">
              <w:rPr>
                <w:rFonts w:cs="Arial"/>
                <w:iCs/>
                <w:lang w:val="en-NZ"/>
              </w:rPr>
              <w:t>ATNZ</w:t>
            </w:r>
            <w:r>
              <w:rPr>
                <w:rFonts w:cs="Arial"/>
                <w:iCs/>
                <w:lang w:val="en-NZ"/>
              </w:rPr>
              <w:t xml:space="preserve"> may currently be using in the delivery or accommodation of </w:t>
            </w:r>
            <w:r w:rsidR="00893B2F">
              <w:rPr>
                <w:rFonts w:cs="Arial"/>
                <w:iCs/>
                <w:lang w:val="en-NZ"/>
              </w:rPr>
              <w:t>learner</w:t>
            </w:r>
            <w:r>
              <w:rPr>
                <w:rFonts w:cs="Arial"/>
                <w:iCs/>
                <w:lang w:val="en-NZ"/>
              </w:rPr>
              <w:t xml:space="preserve">s. </w:t>
            </w:r>
          </w:p>
        </w:tc>
      </w:tr>
      <w:tr w:rsidR="002C520F" w:rsidRPr="0003653F" w14:paraId="06B5540C" w14:textId="77777777" w:rsidTr="000F3175">
        <w:tc>
          <w:tcPr>
            <w:tcW w:w="2281" w:type="dxa"/>
            <w:shd w:val="clear" w:color="auto" w:fill="auto"/>
          </w:tcPr>
          <w:p w14:paraId="1C8304F2" w14:textId="77777777" w:rsidR="002C520F" w:rsidRPr="0003653F" w:rsidRDefault="002C520F" w:rsidP="00D03B05">
            <w:pPr>
              <w:pStyle w:val="TableText"/>
              <w:spacing w:beforeLines="60" w:before="144" w:after="0"/>
              <w:rPr>
                <w:rFonts w:cs="Arial"/>
                <w:b/>
                <w:lang w:val="en-NZ"/>
              </w:rPr>
            </w:pPr>
            <w:r w:rsidRPr="0003653F">
              <w:rPr>
                <w:rFonts w:cs="Arial"/>
                <w:b/>
                <w:lang w:val="en-NZ"/>
              </w:rPr>
              <w:t>Certificate of achievement</w:t>
            </w:r>
          </w:p>
        </w:tc>
        <w:tc>
          <w:tcPr>
            <w:tcW w:w="7324" w:type="dxa"/>
            <w:shd w:val="clear" w:color="auto" w:fill="auto"/>
          </w:tcPr>
          <w:p w14:paraId="69618709" w14:textId="16045BC7" w:rsidR="002C520F" w:rsidRPr="0003653F" w:rsidRDefault="002C520F" w:rsidP="002C520F">
            <w:pPr>
              <w:pStyle w:val="TableText"/>
              <w:spacing w:beforeLines="60" w:before="144"/>
              <w:rPr>
                <w:rFonts w:cs="Arial"/>
                <w:iCs/>
                <w:lang w:val="en-NZ"/>
              </w:rPr>
            </w:pPr>
            <w:r w:rsidRPr="0003653F">
              <w:rPr>
                <w:rFonts w:cs="Arial"/>
                <w:iCs/>
                <w:lang w:val="en-NZ"/>
              </w:rPr>
              <w:t>An award (statement) issued in recogni</w:t>
            </w:r>
            <w:r w:rsidR="001D7849" w:rsidRPr="0003653F">
              <w:rPr>
                <w:rFonts w:cs="Arial"/>
                <w:iCs/>
                <w:lang w:val="en-NZ"/>
              </w:rPr>
              <w:t xml:space="preserve">tion of a </w:t>
            </w:r>
            <w:r w:rsidR="00893B2F">
              <w:rPr>
                <w:rFonts w:cs="Arial"/>
                <w:iCs/>
                <w:lang w:val="en-NZ"/>
              </w:rPr>
              <w:t>learner</w:t>
            </w:r>
            <w:r w:rsidR="001D7849" w:rsidRPr="0003653F">
              <w:rPr>
                <w:rFonts w:cs="Arial"/>
                <w:iCs/>
                <w:lang w:val="en-NZ"/>
              </w:rPr>
              <w:t>’s achievement.</w:t>
            </w:r>
          </w:p>
          <w:p w14:paraId="5D865D47" w14:textId="77777777" w:rsidR="00622552" w:rsidRPr="0003653F" w:rsidRDefault="00622552" w:rsidP="00622552">
            <w:pPr>
              <w:pStyle w:val="TableText"/>
              <w:spacing w:before="0" w:after="0"/>
              <w:ind w:right="240"/>
              <w:rPr>
                <w:rFonts w:cs="Arial"/>
                <w:iCs/>
                <w:lang w:val="en-NZ"/>
              </w:rPr>
            </w:pPr>
          </w:p>
        </w:tc>
      </w:tr>
      <w:tr w:rsidR="002C520F" w:rsidRPr="0003653F" w14:paraId="0174BE03" w14:textId="77777777" w:rsidTr="000F3175">
        <w:tc>
          <w:tcPr>
            <w:tcW w:w="2281" w:type="dxa"/>
            <w:shd w:val="clear" w:color="auto" w:fill="auto"/>
          </w:tcPr>
          <w:p w14:paraId="75660F5F" w14:textId="77777777" w:rsidR="002C520F" w:rsidRPr="0003653F" w:rsidRDefault="002C520F" w:rsidP="00D03B05">
            <w:pPr>
              <w:pStyle w:val="TableText"/>
              <w:spacing w:beforeLines="60" w:before="144" w:after="0"/>
              <w:rPr>
                <w:rFonts w:cs="Arial"/>
                <w:b/>
                <w:lang w:val="en-NZ"/>
              </w:rPr>
            </w:pPr>
            <w:r w:rsidRPr="0003653F">
              <w:rPr>
                <w:rFonts w:cs="Arial"/>
                <w:b/>
                <w:lang w:val="en-NZ"/>
              </w:rPr>
              <w:t>Certificate of attendance</w:t>
            </w:r>
          </w:p>
        </w:tc>
        <w:tc>
          <w:tcPr>
            <w:tcW w:w="7324" w:type="dxa"/>
            <w:shd w:val="clear" w:color="auto" w:fill="auto"/>
          </w:tcPr>
          <w:p w14:paraId="6768A67F" w14:textId="7F163809" w:rsidR="002C520F" w:rsidRPr="0003653F" w:rsidRDefault="002C520F" w:rsidP="002C520F">
            <w:pPr>
              <w:pStyle w:val="TableText"/>
              <w:spacing w:beforeLines="60" w:before="144"/>
              <w:rPr>
                <w:rFonts w:cs="Arial"/>
                <w:iCs/>
                <w:lang w:val="en-NZ"/>
              </w:rPr>
            </w:pPr>
            <w:r w:rsidRPr="0003653F">
              <w:rPr>
                <w:rFonts w:cs="Arial"/>
                <w:iCs/>
                <w:lang w:val="en-NZ"/>
              </w:rPr>
              <w:t xml:space="preserve">An award (statement) issued in recognition of a </w:t>
            </w:r>
            <w:r w:rsidR="00893B2F">
              <w:rPr>
                <w:rFonts w:cs="Arial"/>
                <w:iCs/>
                <w:lang w:val="en-NZ"/>
              </w:rPr>
              <w:t>learner</w:t>
            </w:r>
            <w:r w:rsidRPr="0003653F">
              <w:rPr>
                <w:rFonts w:cs="Arial"/>
                <w:iCs/>
                <w:lang w:val="en-NZ"/>
              </w:rPr>
              <w:t xml:space="preserve">’s attendance at a learning </w:t>
            </w:r>
            <w:r w:rsidR="001D7849" w:rsidRPr="0003653F">
              <w:rPr>
                <w:rFonts w:cs="Arial"/>
                <w:iCs/>
                <w:lang w:val="en-NZ"/>
              </w:rPr>
              <w:t>opportunity</w:t>
            </w:r>
            <w:r w:rsidRPr="0003653F">
              <w:rPr>
                <w:rFonts w:cs="Arial"/>
                <w:iCs/>
                <w:lang w:val="en-NZ"/>
              </w:rPr>
              <w:t xml:space="preserve">.  Certificates of </w:t>
            </w:r>
            <w:r w:rsidR="00420D8E" w:rsidRPr="0003653F">
              <w:rPr>
                <w:rFonts w:cs="Arial"/>
                <w:iCs/>
                <w:lang w:val="en-NZ"/>
              </w:rPr>
              <w:t>a</w:t>
            </w:r>
            <w:r w:rsidRPr="0003653F">
              <w:rPr>
                <w:rFonts w:cs="Arial"/>
                <w:iCs/>
                <w:lang w:val="en-NZ"/>
              </w:rPr>
              <w:t>ttendance are generally provided for non-asse</w:t>
            </w:r>
            <w:r w:rsidR="00C10B80" w:rsidRPr="0003653F">
              <w:rPr>
                <w:rFonts w:cs="Arial"/>
                <w:iCs/>
                <w:lang w:val="en-NZ"/>
              </w:rPr>
              <w:t xml:space="preserve">ssed learning opportunities </w:t>
            </w:r>
            <w:r w:rsidRPr="0003653F">
              <w:rPr>
                <w:rFonts w:cs="Arial"/>
                <w:iCs/>
                <w:lang w:val="en-NZ"/>
              </w:rPr>
              <w:t xml:space="preserve">where a minimum level of attendance is </w:t>
            </w:r>
            <w:proofErr w:type="gramStart"/>
            <w:r w:rsidRPr="0003653F">
              <w:rPr>
                <w:rFonts w:cs="Arial"/>
                <w:iCs/>
                <w:lang w:val="en-NZ"/>
              </w:rPr>
              <w:t>specified</w:t>
            </w:r>
            <w:proofErr w:type="gramEnd"/>
            <w:r w:rsidRPr="0003653F">
              <w:rPr>
                <w:rFonts w:cs="Arial"/>
                <w:iCs/>
                <w:lang w:val="en-NZ"/>
              </w:rPr>
              <w:t xml:space="preserve"> and the </w:t>
            </w:r>
            <w:r w:rsidR="00893B2F">
              <w:rPr>
                <w:rFonts w:cs="Arial"/>
                <w:iCs/>
                <w:lang w:val="en-NZ"/>
              </w:rPr>
              <w:t>learner</w:t>
            </w:r>
            <w:r w:rsidRPr="0003653F">
              <w:rPr>
                <w:rFonts w:cs="Arial"/>
                <w:iCs/>
                <w:lang w:val="en-NZ"/>
              </w:rPr>
              <w:t xml:space="preserve"> has met that requirement. </w:t>
            </w:r>
          </w:p>
          <w:p w14:paraId="34C8410F" w14:textId="77777777" w:rsidR="002C520F" w:rsidRPr="0003653F" w:rsidRDefault="002C520F" w:rsidP="007D1F57">
            <w:pPr>
              <w:pStyle w:val="TableText"/>
              <w:spacing w:before="0" w:after="0"/>
              <w:rPr>
                <w:rFonts w:cs="Arial"/>
                <w:iCs/>
                <w:lang w:val="en-NZ"/>
              </w:rPr>
            </w:pPr>
          </w:p>
        </w:tc>
      </w:tr>
      <w:tr w:rsidR="00402E0B" w:rsidRPr="0003653F" w14:paraId="50A63A47" w14:textId="77777777" w:rsidTr="000F3175">
        <w:tc>
          <w:tcPr>
            <w:tcW w:w="2281" w:type="dxa"/>
            <w:shd w:val="clear" w:color="auto" w:fill="auto"/>
          </w:tcPr>
          <w:p w14:paraId="76AA193B" w14:textId="77777777" w:rsidR="00402E0B" w:rsidRPr="0003653F" w:rsidRDefault="00402E0B" w:rsidP="00D03B05">
            <w:pPr>
              <w:pStyle w:val="TableText"/>
              <w:spacing w:beforeLines="60" w:before="144" w:after="0"/>
              <w:rPr>
                <w:rFonts w:cs="Arial"/>
                <w:b/>
                <w:lang w:val="en-NZ"/>
              </w:rPr>
            </w:pPr>
            <w:r w:rsidRPr="0003653F">
              <w:rPr>
                <w:rFonts w:cs="Arial"/>
                <w:b/>
                <w:lang w:val="en-NZ"/>
              </w:rPr>
              <w:t>Certificate of proficiency</w:t>
            </w:r>
            <w:r w:rsidR="001D7849" w:rsidRPr="0003653F">
              <w:rPr>
                <w:rFonts w:cs="Arial"/>
                <w:b/>
                <w:lang w:val="en-NZ"/>
              </w:rPr>
              <w:t xml:space="preserve"> (CoP)</w:t>
            </w:r>
          </w:p>
        </w:tc>
        <w:tc>
          <w:tcPr>
            <w:tcW w:w="7324" w:type="dxa"/>
            <w:shd w:val="clear" w:color="auto" w:fill="auto"/>
          </w:tcPr>
          <w:p w14:paraId="1690EB79" w14:textId="521E9A2A" w:rsidR="00402E0B" w:rsidRPr="0003653F" w:rsidRDefault="00402E0B" w:rsidP="004A4158">
            <w:pPr>
              <w:pStyle w:val="TableText"/>
              <w:spacing w:beforeLines="60" w:before="144"/>
              <w:rPr>
                <w:rFonts w:cs="Arial"/>
                <w:iCs/>
              </w:rPr>
            </w:pPr>
            <w:r w:rsidRPr="0003653F">
              <w:rPr>
                <w:rFonts w:cs="Arial"/>
              </w:rPr>
              <w:t xml:space="preserve">An award (statement) issued in recognition of a </w:t>
            </w:r>
            <w:r w:rsidR="00893B2F">
              <w:rPr>
                <w:rFonts w:cs="Arial"/>
              </w:rPr>
              <w:t>learner</w:t>
            </w:r>
            <w:r w:rsidRPr="0003653F">
              <w:rPr>
                <w:rFonts w:cs="Arial"/>
              </w:rPr>
              <w:t>’s achievement in assessed course</w:t>
            </w:r>
            <w:r w:rsidR="004C1459" w:rsidRPr="0003653F">
              <w:rPr>
                <w:rFonts w:cs="Arial"/>
              </w:rPr>
              <w:t>(</w:t>
            </w:r>
            <w:r w:rsidRPr="0003653F">
              <w:rPr>
                <w:rFonts w:cs="Arial"/>
              </w:rPr>
              <w:t>s</w:t>
            </w:r>
            <w:r w:rsidR="004C1459" w:rsidRPr="0003653F">
              <w:rPr>
                <w:rFonts w:cs="Arial"/>
              </w:rPr>
              <w:t>)</w:t>
            </w:r>
            <w:r w:rsidRPr="0003653F">
              <w:rPr>
                <w:rFonts w:cs="Arial"/>
              </w:rPr>
              <w:t xml:space="preserve"> or </w:t>
            </w:r>
            <w:r w:rsidR="00495183">
              <w:rPr>
                <w:rFonts w:cs="Arial"/>
              </w:rPr>
              <w:t xml:space="preserve">NZQF </w:t>
            </w:r>
            <w:r w:rsidRPr="0003653F">
              <w:rPr>
                <w:rFonts w:cs="Arial"/>
              </w:rPr>
              <w:t>standards selected from a programme leading to a qualification listed on the New Zealand Qualifications Framework</w:t>
            </w:r>
            <w:r w:rsidR="001D7849" w:rsidRPr="0003653F">
              <w:rPr>
                <w:rFonts w:cs="Arial"/>
              </w:rPr>
              <w:t xml:space="preserve">.  </w:t>
            </w:r>
            <w:r w:rsidRPr="0003653F">
              <w:rPr>
                <w:rFonts w:cs="Arial"/>
              </w:rPr>
              <w:t xml:space="preserve"> </w:t>
            </w:r>
            <w:r w:rsidR="00495183">
              <w:rPr>
                <w:rFonts w:cs="Arial"/>
              </w:rPr>
              <w:t>C</w:t>
            </w:r>
            <w:r w:rsidR="00C10B80" w:rsidRPr="0003653F">
              <w:rPr>
                <w:rFonts w:cs="Arial"/>
              </w:rPr>
              <w:t xml:space="preserve">ertificates of proficiency </w:t>
            </w:r>
            <w:r w:rsidRPr="0003653F">
              <w:rPr>
                <w:rFonts w:cs="Arial"/>
              </w:rPr>
              <w:t xml:space="preserve">are credit bearing and may be </w:t>
            </w:r>
            <w:proofErr w:type="gramStart"/>
            <w:r w:rsidRPr="0003653F">
              <w:rPr>
                <w:rFonts w:cs="Arial"/>
              </w:rPr>
              <w:t>cross-credited</w:t>
            </w:r>
            <w:proofErr w:type="gramEnd"/>
            <w:r w:rsidRPr="0003653F">
              <w:rPr>
                <w:rFonts w:cs="Arial"/>
              </w:rPr>
              <w:t xml:space="preserve"> to relevant programmes and/or training schemes.</w:t>
            </w:r>
          </w:p>
        </w:tc>
      </w:tr>
      <w:tr w:rsidR="00CB2EA3" w:rsidRPr="0003653F" w14:paraId="097F651B" w14:textId="77777777" w:rsidTr="000F3175">
        <w:tc>
          <w:tcPr>
            <w:tcW w:w="2281" w:type="dxa"/>
            <w:shd w:val="clear" w:color="auto" w:fill="auto"/>
          </w:tcPr>
          <w:p w14:paraId="14168DE9" w14:textId="77777777" w:rsidR="00CB2EA3" w:rsidRPr="0003653F" w:rsidRDefault="00CB2EA3" w:rsidP="00D03B05">
            <w:pPr>
              <w:pStyle w:val="TableText"/>
              <w:spacing w:beforeLines="60" w:before="144" w:after="0"/>
              <w:rPr>
                <w:rFonts w:cs="Arial"/>
                <w:b/>
                <w:lang w:val="en-NZ"/>
              </w:rPr>
            </w:pPr>
            <w:r w:rsidRPr="0003653F">
              <w:rPr>
                <w:rFonts w:cs="Arial"/>
                <w:b/>
                <w:lang w:val="en-NZ"/>
              </w:rPr>
              <w:t xml:space="preserve">Chief Executive </w:t>
            </w:r>
          </w:p>
        </w:tc>
        <w:tc>
          <w:tcPr>
            <w:tcW w:w="7324" w:type="dxa"/>
            <w:shd w:val="clear" w:color="auto" w:fill="auto"/>
          </w:tcPr>
          <w:p w14:paraId="2F206996" w14:textId="358C6409" w:rsidR="00CB2EA3" w:rsidRPr="0003653F" w:rsidRDefault="00CB2EA3" w:rsidP="004A4158">
            <w:pPr>
              <w:pStyle w:val="TableText"/>
              <w:spacing w:beforeLines="60" w:before="144" w:after="0"/>
              <w:rPr>
                <w:rFonts w:cs="Arial"/>
                <w:iCs/>
                <w:lang w:val="en-NZ"/>
              </w:rPr>
            </w:pPr>
            <w:r w:rsidRPr="0003653F">
              <w:rPr>
                <w:rFonts w:cs="Arial"/>
                <w:iCs/>
                <w:lang w:val="en-NZ"/>
              </w:rPr>
              <w:t xml:space="preserve">The person appointed by the </w:t>
            </w:r>
            <w:r w:rsidR="00893B2F">
              <w:rPr>
                <w:rFonts w:cs="Arial"/>
                <w:iCs/>
                <w:lang w:val="en-NZ"/>
              </w:rPr>
              <w:t>ATNZ</w:t>
            </w:r>
            <w:r w:rsidR="00A25338" w:rsidRPr="0003653F">
              <w:rPr>
                <w:rFonts w:cs="Arial"/>
                <w:iCs/>
                <w:lang w:val="en-NZ"/>
              </w:rPr>
              <w:t xml:space="preserve"> </w:t>
            </w:r>
            <w:r w:rsidR="008A6880" w:rsidRPr="0003653F">
              <w:rPr>
                <w:rFonts w:cs="Arial"/>
                <w:iCs/>
                <w:lang w:val="en-NZ"/>
              </w:rPr>
              <w:t>Board</w:t>
            </w:r>
            <w:r w:rsidRPr="0003653F">
              <w:rPr>
                <w:rFonts w:cs="Arial"/>
                <w:iCs/>
                <w:lang w:val="en-NZ"/>
              </w:rPr>
              <w:t xml:space="preserve"> as Chief Executive of </w:t>
            </w:r>
            <w:r w:rsidR="00893B2F">
              <w:rPr>
                <w:rFonts w:cs="Arial"/>
                <w:iCs/>
                <w:lang w:val="en-NZ"/>
              </w:rPr>
              <w:t>ATNZ</w:t>
            </w:r>
            <w:r w:rsidRPr="0003653F">
              <w:rPr>
                <w:rFonts w:cs="Arial"/>
                <w:iCs/>
                <w:lang w:val="en-NZ"/>
              </w:rPr>
              <w:t>.</w:t>
            </w:r>
          </w:p>
        </w:tc>
      </w:tr>
      <w:tr w:rsidR="00216A06" w:rsidRPr="0003653F" w14:paraId="7AB74A55" w14:textId="77777777" w:rsidTr="000F3175">
        <w:tc>
          <w:tcPr>
            <w:tcW w:w="2281" w:type="dxa"/>
            <w:shd w:val="clear" w:color="auto" w:fill="auto"/>
          </w:tcPr>
          <w:p w14:paraId="77566677" w14:textId="77777777" w:rsidR="00216A06" w:rsidRPr="0003653F" w:rsidRDefault="00D72A1B" w:rsidP="00D03B05">
            <w:pPr>
              <w:pStyle w:val="TableText"/>
              <w:spacing w:beforeLines="60" w:before="144" w:after="0"/>
              <w:rPr>
                <w:rFonts w:cs="Arial"/>
                <w:b/>
                <w:lang w:val="en-NZ"/>
              </w:rPr>
            </w:pPr>
            <w:r w:rsidRPr="0003653F">
              <w:rPr>
                <w:rFonts w:cs="Arial"/>
                <w:b/>
                <w:lang w:val="en-NZ"/>
              </w:rPr>
              <w:t>Competency-based assessment</w:t>
            </w:r>
          </w:p>
        </w:tc>
        <w:tc>
          <w:tcPr>
            <w:tcW w:w="7324" w:type="dxa"/>
            <w:shd w:val="clear" w:color="auto" w:fill="auto"/>
          </w:tcPr>
          <w:p w14:paraId="1F076B97" w14:textId="4F999978" w:rsidR="00216A06" w:rsidRPr="0003653F" w:rsidRDefault="00D72A1B" w:rsidP="004A4158">
            <w:pPr>
              <w:pStyle w:val="TableText"/>
              <w:spacing w:beforeLines="60" w:before="144" w:after="0"/>
              <w:rPr>
                <w:rFonts w:cs="Arial"/>
                <w:iCs/>
                <w:lang w:val="en-NZ"/>
              </w:rPr>
            </w:pPr>
            <w:r w:rsidRPr="0003653F">
              <w:rPr>
                <w:rFonts w:cs="Arial"/>
                <w:iCs/>
                <w:lang w:val="en-NZ"/>
              </w:rPr>
              <w:t xml:space="preserve">The gathering and judging of evidence </w:t>
            </w:r>
            <w:proofErr w:type="gramStart"/>
            <w:r w:rsidRPr="0003653F">
              <w:rPr>
                <w:rFonts w:cs="Arial"/>
                <w:iCs/>
                <w:lang w:val="en-NZ"/>
              </w:rPr>
              <w:t>in order to</w:t>
            </w:r>
            <w:proofErr w:type="gramEnd"/>
            <w:r w:rsidRPr="0003653F">
              <w:rPr>
                <w:rFonts w:cs="Arial"/>
                <w:iCs/>
                <w:lang w:val="en-NZ"/>
              </w:rPr>
              <w:t xml:space="preserve"> decide whether a person has achieved a standard of competence.</w:t>
            </w:r>
          </w:p>
        </w:tc>
      </w:tr>
      <w:tr w:rsidR="00BF5B0F" w:rsidRPr="0003653F" w14:paraId="73D51A43" w14:textId="77777777" w:rsidTr="000F3175">
        <w:tc>
          <w:tcPr>
            <w:tcW w:w="2281" w:type="dxa"/>
            <w:shd w:val="clear" w:color="auto" w:fill="auto"/>
          </w:tcPr>
          <w:p w14:paraId="64AB8DD9" w14:textId="77777777" w:rsidR="00BF5B0F" w:rsidRPr="0003653F" w:rsidRDefault="00D72A1B" w:rsidP="00D03B05">
            <w:pPr>
              <w:pStyle w:val="TableText"/>
              <w:spacing w:beforeLines="60" w:before="144" w:after="0"/>
              <w:rPr>
                <w:rFonts w:cs="Arial"/>
                <w:b/>
                <w:lang w:val="en-NZ"/>
              </w:rPr>
            </w:pPr>
            <w:r w:rsidRPr="0003653F">
              <w:rPr>
                <w:rFonts w:cs="Arial"/>
                <w:b/>
                <w:lang w:val="en-NZ"/>
              </w:rPr>
              <w:t>Computer systems</w:t>
            </w:r>
          </w:p>
        </w:tc>
        <w:tc>
          <w:tcPr>
            <w:tcW w:w="7324" w:type="dxa"/>
            <w:shd w:val="clear" w:color="auto" w:fill="auto"/>
          </w:tcPr>
          <w:p w14:paraId="246D981F" w14:textId="2015E4C4" w:rsidR="00835C2A" w:rsidRPr="0003653F" w:rsidRDefault="00D72A1B" w:rsidP="00D03B05">
            <w:pPr>
              <w:pStyle w:val="TableText"/>
              <w:spacing w:beforeLines="60" w:before="144" w:after="0"/>
              <w:rPr>
                <w:rFonts w:cs="Arial"/>
                <w:b/>
                <w:iCs/>
                <w:lang w:val="en-NZ"/>
              </w:rPr>
            </w:pPr>
            <w:r w:rsidRPr="0003653F">
              <w:rPr>
                <w:rFonts w:cs="Arial"/>
                <w:iCs/>
                <w:lang w:val="en-NZ"/>
              </w:rPr>
              <w:t xml:space="preserve">Any </w:t>
            </w:r>
            <w:r w:rsidR="00C2332C">
              <w:rPr>
                <w:rFonts w:cs="Arial"/>
                <w:iCs/>
                <w:lang w:val="en-NZ"/>
              </w:rPr>
              <w:t xml:space="preserve">information system to which learners are provided </w:t>
            </w:r>
            <w:r w:rsidR="00D121DA">
              <w:rPr>
                <w:rFonts w:cs="Arial"/>
                <w:iCs/>
                <w:lang w:val="en-NZ"/>
              </w:rPr>
              <w:t xml:space="preserve">user </w:t>
            </w:r>
            <w:r w:rsidR="00C2332C">
              <w:rPr>
                <w:rFonts w:cs="Arial"/>
                <w:iCs/>
                <w:lang w:val="en-NZ"/>
              </w:rPr>
              <w:t>access</w:t>
            </w:r>
            <w:r w:rsidR="00D121DA">
              <w:rPr>
                <w:rFonts w:cs="Arial"/>
                <w:iCs/>
                <w:lang w:val="en-NZ"/>
              </w:rPr>
              <w:t xml:space="preserve">, including </w:t>
            </w:r>
            <w:r w:rsidR="005F5D0A">
              <w:rPr>
                <w:rFonts w:cs="Arial"/>
                <w:iCs/>
                <w:lang w:val="en-NZ"/>
              </w:rPr>
              <w:t xml:space="preserve">learner </w:t>
            </w:r>
            <w:r w:rsidR="00D121DA">
              <w:rPr>
                <w:rFonts w:cs="Arial"/>
                <w:iCs/>
                <w:lang w:val="en-NZ"/>
              </w:rPr>
              <w:t>portals</w:t>
            </w:r>
            <w:r w:rsidR="005F5D0A">
              <w:rPr>
                <w:rFonts w:cs="Arial"/>
                <w:iCs/>
                <w:lang w:val="en-NZ"/>
              </w:rPr>
              <w:t xml:space="preserve"> and </w:t>
            </w:r>
            <w:r w:rsidR="00D121DA">
              <w:rPr>
                <w:rFonts w:cs="Arial"/>
                <w:iCs/>
                <w:lang w:val="en-NZ"/>
              </w:rPr>
              <w:t>Canvas</w:t>
            </w:r>
            <w:r w:rsidR="008811D4">
              <w:rPr>
                <w:rFonts w:cs="Arial"/>
                <w:iCs/>
                <w:lang w:val="en-NZ"/>
              </w:rPr>
              <w:t xml:space="preserve">, </w:t>
            </w:r>
            <w:r w:rsidR="00D121DA">
              <w:rPr>
                <w:rFonts w:cs="Arial"/>
                <w:iCs/>
                <w:lang w:val="en-NZ"/>
              </w:rPr>
              <w:t xml:space="preserve">alternative </w:t>
            </w:r>
            <w:r w:rsidR="005F5D0A">
              <w:rPr>
                <w:rFonts w:cs="Arial"/>
                <w:iCs/>
                <w:lang w:val="en-NZ"/>
              </w:rPr>
              <w:t>L</w:t>
            </w:r>
            <w:r w:rsidR="00D121DA">
              <w:rPr>
                <w:rFonts w:cs="Arial"/>
                <w:iCs/>
                <w:lang w:val="en-NZ"/>
              </w:rPr>
              <w:t xml:space="preserve">earning </w:t>
            </w:r>
            <w:r w:rsidR="005F5D0A">
              <w:rPr>
                <w:rFonts w:cs="Arial"/>
                <w:iCs/>
                <w:lang w:val="en-NZ"/>
              </w:rPr>
              <w:t>M</w:t>
            </w:r>
            <w:r w:rsidR="00D121DA">
              <w:rPr>
                <w:rFonts w:cs="Arial"/>
                <w:iCs/>
                <w:lang w:val="en-NZ"/>
              </w:rPr>
              <w:t>anagement System</w:t>
            </w:r>
            <w:r w:rsidR="008811D4">
              <w:rPr>
                <w:rFonts w:cs="Arial"/>
                <w:iCs/>
                <w:lang w:val="en-NZ"/>
              </w:rPr>
              <w:t xml:space="preserve"> or network access in</w:t>
            </w:r>
            <w:r w:rsidR="008A6168">
              <w:rPr>
                <w:rFonts w:cs="Arial"/>
                <w:iCs/>
                <w:lang w:val="en-NZ"/>
              </w:rPr>
              <w:t xml:space="preserve"> ATNZ operated training facilities</w:t>
            </w:r>
            <w:r w:rsidR="00D121DA">
              <w:rPr>
                <w:rFonts w:cs="Arial"/>
                <w:iCs/>
                <w:lang w:val="en-NZ"/>
              </w:rPr>
              <w:t>)</w:t>
            </w:r>
            <w:r w:rsidR="008811D4">
              <w:rPr>
                <w:rFonts w:cs="Arial"/>
                <w:iCs/>
                <w:lang w:val="en-NZ"/>
              </w:rPr>
              <w:t xml:space="preserve"> </w:t>
            </w:r>
            <w:r w:rsidR="005F5D0A">
              <w:rPr>
                <w:rFonts w:cs="Arial"/>
                <w:iCs/>
                <w:lang w:val="en-NZ"/>
              </w:rPr>
              <w:t xml:space="preserve">or </w:t>
            </w:r>
            <w:r w:rsidR="008811D4">
              <w:rPr>
                <w:rFonts w:cs="Arial"/>
                <w:iCs/>
                <w:lang w:val="en-NZ"/>
              </w:rPr>
              <w:t xml:space="preserve">any </w:t>
            </w:r>
            <w:r w:rsidR="005F5D0A">
              <w:rPr>
                <w:rFonts w:cs="Arial"/>
                <w:iCs/>
                <w:lang w:val="en-NZ"/>
              </w:rPr>
              <w:t xml:space="preserve">device </w:t>
            </w:r>
            <w:r w:rsidR="008811D4">
              <w:rPr>
                <w:rFonts w:cs="Arial"/>
                <w:iCs/>
                <w:lang w:val="en-NZ"/>
              </w:rPr>
              <w:t>owned by ATNZ</w:t>
            </w:r>
            <w:r w:rsidR="008A6168">
              <w:rPr>
                <w:rFonts w:cs="Arial"/>
                <w:iCs/>
                <w:lang w:val="en-NZ"/>
              </w:rPr>
              <w:t xml:space="preserve"> </w:t>
            </w:r>
            <w:r w:rsidRPr="0003653F">
              <w:rPr>
                <w:rFonts w:cs="Arial"/>
                <w:iCs/>
                <w:lang w:val="en-NZ"/>
              </w:rPr>
              <w:t>including, but not li</w:t>
            </w:r>
            <w:r w:rsidR="002A3F16">
              <w:rPr>
                <w:rFonts w:cs="Arial"/>
                <w:iCs/>
                <w:lang w:val="en-NZ"/>
              </w:rPr>
              <w:t xml:space="preserve">mited </w:t>
            </w:r>
            <w:r w:rsidRPr="0003653F">
              <w:rPr>
                <w:rFonts w:cs="Arial"/>
                <w:iCs/>
                <w:lang w:val="en-NZ"/>
              </w:rPr>
              <w:t xml:space="preserve">to desktop computers, laptops, PDA, </w:t>
            </w:r>
            <w:proofErr w:type="spellStart"/>
            <w:r w:rsidR="00C802FD" w:rsidRPr="0003653F">
              <w:rPr>
                <w:rFonts w:cs="Arial"/>
                <w:iCs/>
                <w:lang w:val="en-NZ"/>
              </w:rPr>
              <w:t>ipad</w:t>
            </w:r>
            <w:proofErr w:type="spellEnd"/>
            <w:r w:rsidR="00C802FD" w:rsidRPr="0003653F">
              <w:rPr>
                <w:rFonts w:cs="Arial"/>
                <w:iCs/>
                <w:lang w:val="en-NZ"/>
              </w:rPr>
              <w:t xml:space="preserve">, </w:t>
            </w:r>
            <w:r w:rsidR="00AB37BF" w:rsidRPr="0003653F">
              <w:rPr>
                <w:rFonts w:cs="Arial"/>
                <w:iCs/>
                <w:lang w:val="en-NZ"/>
              </w:rPr>
              <w:t xml:space="preserve">tablet </w:t>
            </w:r>
            <w:r w:rsidRPr="0003653F">
              <w:rPr>
                <w:rFonts w:cs="Arial"/>
                <w:iCs/>
                <w:lang w:val="en-NZ"/>
              </w:rPr>
              <w:t>or other handheld smart phone devices and the applications, software, internet, email, network accessed via these systems, and the storage of information on these systems.</w:t>
            </w:r>
          </w:p>
          <w:p w14:paraId="1B71B262" w14:textId="77777777" w:rsidR="00BF5B0F" w:rsidRPr="0003653F" w:rsidRDefault="00BF5B0F" w:rsidP="00CD2E70">
            <w:pPr>
              <w:pStyle w:val="TableText"/>
              <w:spacing w:before="0" w:after="0"/>
              <w:rPr>
                <w:rFonts w:cs="Arial"/>
                <w:iCs/>
                <w:color w:val="000000"/>
                <w:lang w:val="en-NZ"/>
              </w:rPr>
            </w:pPr>
          </w:p>
        </w:tc>
      </w:tr>
      <w:tr w:rsidR="00230531" w:rsidRPr="0003653F" w14:paraId="0787006C" w14:textId="77777777" w:rsidTr="000F3175">
        <w:tc>
          <w:tcPr>
            <w:tcW w:w="2281" w:type="dxa"/>
            <w:shd w:val="clear" w:color="auto" w:fill="auto"/>
          </w:tcPr>
          <w:p w14:paraId="515D732D" w14:textId="77777777" w:rsidR="00230531" w:rsidRPr="0003653F" w:rsidRDefault="008A6880" w:rsidP="00D03B05">
            <w:pPr>
              <w:pStyle w:val="TableText"/>
              <w:spacing w:beforeLines="60" w:before="144" w:after="0"/>
              <w:rPr>
                <w:rFonts w:cs="Arial"/>
                <w:b/>
                <w:lang w:val="en-NZ"/>
              </w:rPr>
            </w:pPr>
            <w:r w:rsidRPr="0003653F">
              <w:rPr>
                <w:rFonts w:cs="Arial"/>
                <w:b/>
                <w:lang w:val="en-NZ"/>
              </w:rPr>
              <w:t>Board</w:t>
            </w:r>
          </w:p>
        </w:tc>
        <w:tc>
          <w:tcPr>
            <w:tcW w:w="7324" w:type="dxa"/>
            <w:shd w:val="clear" w:color="auto" w:fill="auto"/>
          </w:tcPr>
          <w:p w14:paraId="0918627D" w14:textId="04137A49" w:rsidR="00110B85" w:rsidRPr="0003653F" w:rsidRDefault="00D72A1B" w:rsidP="002F0892">
            <w:pPr>
              <w:pStyle w:val="TableText"/>
              <w:spacing w:beforeLines="60" w:before="144" w:after="0"/>
              <w:ind w:right="240"/>
              <w:rPr>
                <w:rFonts w:cs="Arial"/>
                <w:lang w:val="en-NZ"/>
              </w:rPr>
            </w:pPr>
            <w:r w:rsidRPr="0003653F">
              <w:rPr>
                <w:rFonts w:cs="Arial"/>
                <w:iCs/>
                <w:color w:val="000000"/>
                <w:lang w:val="en-NZ"/>
              </w:rPr>
              <w:t>The</w:t>
            </w:r>
            <w:r w:rsidRPr="0003653F">
              <w:rPr>
                <w:rFonts w:cs="Arial"/>
                <w:lang w:val="en-NZ"/>
              </w:rPr>
              <w:t xml:space="preserve"> governing body of </w:t>
            </w:r>
            <w:r w:rsidR="00893B2F">
              <w:rPr>
                <w:rFonts w:cs="Arial"/>
                <w:lang w:val="en-NZ"/>
              </w:rPr>
              <w:t>ATNZ</w:t>
            </w:r>
            <w:r w:rsidRPr="0003653F">
              <w:rPr>
                <w:rFonts w:cs="Arial"/>
                <w:lang w:val="en-NZ"/>
              </w:rPr>
              <w:t>.</w:t>
            </w:r>
          </w:p>
        </w:tc>
      </w:tr>
      <w:tr w:rsidR="000836DB" w:rsidRPr="0003653F" w14:paraId="380C5AE1" w14:textId="77777777" w:rsidTr="000F3175">
        <w:tc>
          <w:tcPr>
            <w:tcW w:w="2281" w:type="dxa"/>
            <w:shd w:val="clear" w:color="auto" w:fill="auto"/>
          </w:tcPr>
          <w:p w14:paraId="6127ECC0" w14:textId="77777777" w:rsidR="000836DB" w:rsidRPr="0003653F" w:rsidRDefault="00D72A1B" w:rsidP="00D03B05">
            <w:pPr>
              <w:pStyle w:val="TableText"/>
              <w:spacing w:beforeLines="60" w:before="144" w:after="0"/>
              <w:rPr>
                <w:rFonts w:cs="Arial"/>
                <w:b/>
                <w:lang w:val="en-NZ"/>
              </w:rPr>
            </w:pPr>
            <w:r w:rsidRPr="0003653F">
              <w:rPr>
                <w:rFonts w:cs="Arial"/>
                <w:b/>
                <w:lang w:val="en-NZ"/>
              </w:rPr>
              <w:t>Course</w:t>
            </w:r>
          </w:p>
        </w:tc>
        <w:tc>
          <w:tcPr>
            <w:tcW w:w="7324" w:type="dxa"/>
            <w:shd w:val="clear" w:color="auto" w:fill="auto"/>
          </w:tcPr>
          <w:p w14:paraId="53B26075" w14:textId="7C911278" w:rsidR="00402E0B" w:rsidRPr="0003653F" w:rsidRDefault="00402E0B" w:rsidP="00402E0B">
            <w:pPr>
              <w:pStyle w:val="TableText"/>
              <w:spacing w:beforeLines="60" w:before="144"/>
              <w:ind w:right="240"/>
              <w:rPr>
                <w:rFonts w:cs="Arial"/>
                <w:iCs/>
                <w:color w:val="000000"/>
                <w:lang w:val="en-NZ"/>
              </w:rPr>
            </w:pPr>
            <w:r w:rsidRPr="0003653F">
              <w:rPr>
                <w:rFonts w:cs="Arial"/>
                <w:iCs/>
                <w:color w:val="000000"/>
                <w:lang w:val="en-NZ"/>
              </w:rPr>
              <w:t xml:space="preserve">A self-contained block of study.  A specified course or collection of courses forms a programme or training scheme. </w:t>
            </w:r>
            <w:r w:rsidR="00420D8E" w:rsidRPr="0003653F">
              <w:rPr>
                <w:rFonts w:cs="Arial"/>
                <w:iCs/>
                <w:color w:val="000000"/>
                <w:lang w:val="en-NZ"/>
              </w:rPr>
              <w:t xml:space="preserve"> </w:t>
            </w:r>
            <w:r w:rsidRPr="0003653F">
              <w:rPr>
                <w:rFonts w:cs="Arial"/>
                <w:iCs/>
                <w:color w:val="000000"/>
                <w:lang w:val="en-NZ"/>
              </w:rPr>
              <w:t xml:space="preserve">A course may include one or more </w:t>
            </w:r>
            <w:r w:rsidR="00495183">
              <w:rPr>
                <w:rFonts w:cs="Arial"/>
                <w:iCs/>
                <w:color w:val="000000"/>
                <w:lang w:val="en-NZ"/>
              </w:rPr>
              <w:t xml:space="preserve">NZQF </w:t>
            </w:r>
            <w:r w:rsidRPr="0003653F">
              <w:rPr>
                <w:rFonts w:cs="Arial"/>
                <w:iCs/>
                <w:color w:val="000000"/>
                <w:lang w:val="en-NZ"/>
              </w:rPr>
              <w:t>standards which may or may not add up to the total value of the course.</w:t>
            </w:r>
          </w:p>
          <w:p w14:paraId="0306D454" w14:textId="4DFA6E0A" w:rsidR="002C1560" w:rsidRPr="0003653F" w:rsidRDefault="00402E0B" w:rsidP="004A4158">
            <w:pPr>
              <w:pStyle w:val="TableText"/>
              <w:spacing w:before="0"/>
              <w:rPr>
                <w:rFonts w:cs="Arial"/>
                <w:iCs/>
                <w:color w:val="000000"/>
                <w:lang w:val="en-NZ"/>
              </w:rPr>
            </w:pPr>
            <w:r w:rsidRPr="0003653F">
              <w:rPr>
                <w:rFonts w:cs="Arial"/>
                <w:iCs/>
                <w:color w:val="000000"/>
                <w:lang w:val="en-NZ"/>
              </w:rPr>
              <w:t xml:space="preserve">A course may also be referred to as a paper, </w:t>
            </w:r>
            <w:proofErr w:type="gramStart"/>
            <w:r w:rsidRPr="0003653F">
              <w:rPr>
                <w:rFonts w:cs="Arial"/>
                <w:iCs/>
                <w:color w:val="000000"/>
                <w:lang w:val="en-NZ"/>
              </w:rPr>
              <w:t>module</w:t>
            </w:r>
            <w:proofErr w:type="gramEnd"/>
            <w:r w:rsidRPr="0003653F">
              <w:rPr>
                <w:rFonts w:cs="Arial"/>
                <w:iCs/>
                <w:color w:val="000000"/>
                <w:lang w:val="en-NZ"/>
              </w:rPr>
              <w:t xml:space="preserve"> or unit of study.</w:t>
            </w:r>
          </w:p>
        </w:tc>
      </w:tr>
      <w:tr w:rsidR="001C6327" w:rsidRPr="0003653F" w14:paraId="1702DCF8" w14:textId="77777777" w:rsidTr="000F3175">
        <w:tc>
          <w:tcPr>
            <w:tcW w:w="2281" w:type="dxa"/>
            <w:shd w:val="clear" w:color="auto" w:fill="auto"/>
          </w:tcPr>
          <w:p w14:paraId="4D0744B4" w14:textId="77777777" w:rsidR="001C6327" w:rsidRPr="0003653F" w:rsidRDefault="00D72A1B" w:rsidP="00D03B05">
            <w:pPr>
              <w:pStyle w:val="TableText"/>
              <w:spacing w:beforeLines="60" w:before="144" w:after="0"/>
              <w:rPr>
                <w:rFonts w:cs="Arial"/>
                <w:b/>
                <w:lang w:val="en-NZ"/>
              </w:rPr>
            </w:pPr>
            <w:r w:rsidRPr="0003653F">
              <w:rPr>
                <w:rFonts w:cs="Arial"/>
                <w:b/>
                <w:lang w:val="en-NZ"/>
              </w:rPr>
              <w:t>Credit</w:t>
            </w:r>
          </w:p>
        </w:tc>
        <w:tc>
          <w:tcPr>
            <w:tcW w:w="7324" w:type="dxa"/>
            <w:shd w:val="clear" w:color="auto" w:fill="auto"/>
          </w:tcPr>
          <w:p w14:paraId="766B8CBB" w14:textId="6D3AA3D3" w:rsidR="001C6327" w:rsidRPr="0003653F" w:rsidRDefault="00402E0B" w:rsidP="004A4158">
            <w:pPr>
              <w:pStyle w:val="TableText"/>
              <w:spacing w:beforeLines="60" w:before="144" w:after="0"/>
              <w:ind w:right="240"/>
              <w:rPr>
                <w:rFonts w:cs="Arial"/>
                <w:iCs/>
                <w:color w:val="000000"/>
                <w:highlight w:val="green"/>
                <w:lang w:val="en-NZ"/>
              </w:rPr>
            </w:pPr>
            <w:r w:rsidRPr="0003653F">
              <w:rPr>
                <w:rFonts w:cs="Arial"/>
                <w:bCs/>
                <w:iCs/>
                <w:color w:val="000000"/>
                <w:lang w:val="en-NZ"/>
              </w:rPr>
              <w:t xml:space="preserve">A value assigned to a segment of learning that reflects the estimated </w:t>
            </w:r>
            <w:r w:rsidR="00893B2F">
              <w:rPr>
                <w:rFonts w:cs="Arial"/>
                <w:bCs/>
                <w:iCs/>
                <w:color w:val="000000"/>
                <w:lang w:val="en-NZ"/>
              </w:rPr>
              <w:t>learner</w:t>
            </w:r>
            <w:r w:rsidRPr="0003653F">
              <w:rPr>
                <w:rFonts w:cs="Arial"/>
                <w:bCs/>
                <w:iCs/>
                <w:color w:val="000000"/>
                <w:lang w:val="en-NZ"/>
              </w:rPr>
              <w:t xml:space="preserve"> time/effort required to satisfactorily meet the assessment requirements. One credit represents a notional 10 hours of learning, practice, and assessment time.</w:t>
            </w:r>
          </w:p>
        </w:tc>
      </w:tr>
      <w:tr w:rsidR="000C2539" w:rsidRPr="0003653F" w14:paraId="6DC99637" w14:textId="77777777" w:rsidTr="000F3175">
        <w:tc>
          <w:tcPr>
            <w:tcW w:w="2281" w:type="dxa"/>
            <w:shd w:val="clear" w:color="auto" w:fill="auto"/>
          </w:tcPr>
          <w:p w14:paraId="63E3D375" w14:textId="77777777" w:rsidR="000C2539" w:rsidRPr="0003653F" w:rsidRDefault="00D72A1B" w:rsidP="00D03B05">
            <w:pPr>
              <w:pStyle w:val="TableText"/>
              <w:spacing w:beforeLines="60" w:before="144" w:after="0"/>
              <w:rPr>
                <w:rFonts w:cs="Arial"/>
                <w:b/>
                <w:lang w:val="en-NZ"/>
              </w:rPr>
            </w:pPr>
            <w:r w:rsidRPr="0003653F">
              <w:rPr>
                <w:rFonts w:cs="Arial"/>
                <w:b/>
                <w:lang w:val="en-NZ"/>
              </w:rPr>
              <w:t>Credit transfer (CT)</w:t>
            </w:r>
          </w:p>
        </w:tc>
        <w:tc>
          <w:tcPr>
            <w:tcW w:w="7324" w:type="dxa"/>
            <w:shd w:val="clear" w:color="auto" w:fill="auto"/>
          </w:tcPr>
          <w:p w14:paraId="09BB3414" w14:textId="7D157B7B" w:rsidR="00CD53C4" w:rsidRPr="0003653F" w:rsidRDefault="00402E0B" w:rsidP="004A4158">
            <w:pPr>
              <w:pStyle w:val="TableText"/>
              <w:spacing w:beforeLines="60" w:before="144"/>
              <w:ind w:right="245"/>
              <w:rPr>
                <w:rFonts w:cs="Arial"/>
                <w:iCs/>
                <w:color w:val="000000"/>
                <w:lang w:val="en-NZ"/>
              </w:rPr>
            </w:pPr>
            <w:r w:rsidRPr="0003653F">
              <w:rPr>
                <w:rFonts w:cs="Arial"/>
                <w:iCs/>
                <w:color w:val="000000"/>
                <w:lang w:val="en-NZ"/>
              </w:rPr>
              <w:t xml:space="preserve">The granting of credit towards a programme or training scheme </w:t>
            </w:r>
            <w:proofErr w:type="gramStart"/>
            <w:r w:rsidRPr="0003653F">
              <w:rPr>
                <w:rFonts w:cs="Arial"/>
                <w:iCs/>
                <w:color w:val="000000"/>
                <w:lang w:val="en-NZ"/>
              </w:rPr>
              <w:t>on the basis of</w:t>
            </w:r>
            <w:proofErr w:type="gramEnd"/>
            <w:r w:rsidRPr="0003653F">
              <w:rPr>
                <w:rFonts w:cs="Arial"/>
                <w:iCs/>
                <w:color w:val="000000"/>
                <w:lang w:val="en-NZ"/>
              </w:rPr>
              <w:t xml:space="preserve"> credit for the same course(s) already earned in another programme or training scheme at </w:t>
            </w:r>
            <w:r w:rsidR="00893B2F">
              <w:rPr>
                <w:rFonts w:cs="Arial"/>
                <w:iCs/>
                <w:color w:val="000000"/>
                <w:lang w:val="en-NZ"/>
              </w:rPr>
              <w:t>ATNZ</w:t>
            </w:r>
            <w:r w:rsidRPr="0003653F">
              <w:rPr>
                <w:rFonts w:cs="Arial"/>
                <w:iCs/>
                <w:color w:val="000000"/>
                <w:lang w:val="en-NZ"/>
              </w:rPr>
              <w:t xml:space="preserve"> or another education provider.</w:t>
            </w:r>
          </w:p>
        </w:tc>
      </w:tr>
      <w:tr w:rsidR="000C2539" w:rsidRPr="0003653F" w14:paraId="242F5820" w14:textId="77777777" w:rsidTr="000F3175">
        <w:tc>
          <w:tcPr>
            <w:tcW w:w="2281" w:type="dxa"/>
            <w:shd w:val="clear" w:color="auto" w:fill="auto"/>
          </w:tcPr>
          <w:p w14:paraId="6994A999" w14:textId="77777777" w:rsidR="000C2539" w:rsidRPr="0003653F" w:rsidRDefault="00D72A1B" w:rsidP="00D03B05">
            <w:pPr>
              <w:pStyle w:val="TableText"/>
              <w:spacing w:beforeLines="60" w:before="144" w:after="0"/>
              <w:rPr>
                <w:rFonts w:cs="Arial"/>
                <w:b/>
                <w:lang w:val="en-NZ"/>
              </w:rPr>
            </w:pPr>
            <w:r w:rsidRPr="0003653F">
              <w:rPr>
                <w:rFonts w:cs="Arial"/>
                <w:b/>
                <w:lang w:val="en-NZ"/>
              </w:rPr>
              <w:t xml:space="preserve">Cross </w:t>
            </w:r>
            <w:r w:rsidR="00E53601" w:rsidRPr="0003653F">
              <w:rPr>
                <w:rFonts w:cs="Arial"/>
                <w:b/>
                <w:lang w:val="en-NZ"/>
              </w:rPr>
              <w:t xml:space="preserve">credit </w:t>
            </w:r>
            <w:r w:rsidRPr="0003653F">
              <w:rPr>
                <w:rFonts w:cs="Arial"/>
                <w:b/>
                <w:lang w:val="en-NZ"/>
              </w:rPr>
              <w:t>(CC)</w:t>
            </w:r>
          </w:p>
        </w:tc>
        <w:tc>
          <w:tcPr>
            <w:tcW w:w="7324" w:type="dxa"/>
            <w:shd w:val="clear" w:color="auto" w:fill="auto"/>
          </w:tcPr>
          <w:p w14:paraId="08684BC4" w14:textId="2F1F4F7E" w:rsidR="00402E0B" w:rsidRPr="0003653F" w:rsidRDefault="00D72A1B" w:rsidP="004A4158">
            <w:pPr>
              <w:pStyle w:val="TableText"/>
              <w:spacing w:beforeLines="60" w:before="144"/>
              <w:ind w:right="245"/>
              <w:rPr>
                <w:rFonts w:cs="Arial"/>
                <w:iCs/>
                <w:color w:val="000000"/>
              </w:rPr>
            </w:pPr>
            <w:r w:rsidRPr="0003653F">
              <w:rPr>
                <w:rFonts w:cs="Arial"/>
                <w:iCs/>
                <w:color w:val="000000"/>
                <w:lang w:val="en-NZ"/>
              </w:rPr>
              <w:t xml:space="preserve">The </w:t>
            </w:r>
            <w:r w:rsidR="000A244A" w:rsidRPr="0003653F">
              <w:rPr>
                <w:rFonts w:cs="Arial"/>
                <w:iCs/>
                <w:color w:val="000000"/>
                <w:lang w:val="en-NZ"/>
              </w:rPr>
              <w:t xml:space="preserve">granting </w:t>
            </w:r>
            <w:r w:rsidRPr="0003653F">
              <w:rPr>
                <w:rFonts w:cs="Arial"/>
                <w:iCs/>
                <w:color w:val="000000"/>
                <w:lang w:val="en-NZ"/>
              </w:rPr>
              <w:t xml:space="preserve">of credit for </w:t>
            </w:r>
            <w:r w:rsidR="00CD4746" w:rsidRPr="0003653F">
              <w:rPr>
                <w:rFonts w:cs="Arial"/>
                <w:iCs/>
                <w:color w:val="000000"/>
                <w:lang w:val="en-NZ"/>
              </w:rPr>
              <w:t>having successfully completed a similar course to the required standard.</w:t>
            </w:r>
          </w:p>
        </w:tc>
      </w:tr>
      <w:tr w:rsidR="001E6FC2" w:rsidRPr="0003653F" w14:paraId="4B9B597C" w14:textId="77777777" w:rsidTr="000F3175">
        <w:tc>
          <w:tcPr>
            <w:tcW w:w="2281" w:type="dxa"/>
            <w:shd w:val="clear" w:color="auto" w:fill="auto"/>
          </w:tcPr>
          <w:p w14:paraId="475486C3" w14:textId="77777777" w:rsidR="001E6FC2" w:rsidRPr="0003653F" w:rsidRDefault="00D72A1B" w:rsidP="00D03B05">
            <w:pPr>
              <w:pStyle w:val="TableText"/>
              <w:spacing w:beforeLines="60" w:before="144" w:after="0"/>
              <w:rPr>
                <w:rFonts w:cs="Arial"/>
                <w:b/>
                <w:lang w:val="en-NZ"/>
              </w:rPr>
            </w:pPr>
            <w:r w:rsidRPr="0003653F">
              <w:rPr>
                <w:rFonts w:cs="Arial"/>
                <w:b/>
                <w:lang w:val="en-NZ"/>
              </w:rPr>
              <w:t>Did not complete the course</w:t>
            </w:r>
          </w:p>
        </w:tc>
        <w:tc>
          <w:tcPr>
            <w:tcW w:w="7324" w:type="dxa"/>
            <w:shd w:val="clear" w:color="auto" w:fill="auto"/>
          </w:tcPr>
          <w:p w14:paraId="18F6B570" w14:textId="20D153D4" w:rsidR="001E6FC2" w:rsidRPr="0003653F" w:rsidRDefault="00D72A1B" w:rsidP="004A4158">
            <w:pPr>
              <w:pStyle w:val="TableText"/>
              <w:spacing w:beforeLines="60" w:before="144" w:after="0"/>
              <w:ind w:right="240"/>
              <w:rPr>
                <w:rFonts w:cs="Arial"/>
                <w:iCs/>
                <w:color w:val="000000"/>
                <w:lang w:val="en-NZ"/>
              </w:rPr>
            </w:pPr>
            <w:r w:rsidRPr="0003653F">
              <w:rPr>
                <w:rFonts w:cs="Arial"/>
                <w:iCs/>
                <w:color w:val="000000"/>
                <w:lang w:val="en-NZ"/>
              </w:rPr>
              <w:t xml:space="preserve">The situation that arises when a </w:t>
            </w:r>
            <w:r w:rsidR="00893B2F">
              <w:rPr>
                <w:rFonts w:cs="Arial"/>
                <w:iCs/>
                <w:color w:val="000000"/>
                <w:lang w:val="en-NZ"/>
              </w:rPr>
              <w:t>learner</w:t>
            </w:r>
            <w:r w:rsidRPr="0003653F">
              <w:rPr>
                <w:rFonts w:cs="Arial"/>
                <w:iCs/>
                <w:color w:val="000000"/>
                <w:lang w:val="en-NZ"/>
              </w:rPr>
              <w:t xml:space="preserve"> has stopped attending a course or programme but has not withdrawn from the course</w:t>
            </w:r>
            <w:r w:rsidR="000E550D" w:rsidRPr="0003653F">
              <w:rPr>
                <w:rFonts w:cs="Arial"/>
                <w:iCs/>
                <w:color w:val="000000"/>
                <w:lang w:val="en-NZ"/>
              </w:rPr>
              <w:t xml:space="preserve"> during the withdrawal period</w:t>
            </w:r>
            <w:r w:rsidRPr="0003653F">
              <w:rPr>
                <w:rFonts w:cs="Arial"/>
                <w:iCs/>
                <w:color w:val="000000"/>
                <w:lang w:val="en-NZ"/>
              </w:rPr>
              <w:t>.</w:t>
            </w:r>
          </w:p>
        </w:tc>
      </w:tr>
      <w:tr w:rsidR="00A82328" w:rsidRPr="0003653F" w14:paraId="436B2578" w14:textId="77777777" w:rsidTr="000F3175">
        <w:tc>
          <w:tcPr>
            <w:tcW w:w="2281" w:type="dxa"/>
            <w:shd w:val="clear" w:color="auto" w:fill="auto"/>
          </w:tcPr>
          <w:p w14:paraId="21C4D50C" w14:textId="77777777" w:rsidR="00A82328" w:rsidRPr="0003653F" w:rsidRDefault="00A82328" w:rsidP="00D03B05">
            <w:pPr>
              <w:pStyle w:val="TableText"/>
              <w:spacing w:beforeLines="60" w:before="144" w:after="0"/>
              <w:rPr>
                <w:rFonts w:cs="Arial"/>
                <w:b/>
                <w:lang w:val="en-NZ"/>
              </w:rPr>
            </w:pPr>
            <w:r w:rsidRPr="0003653F">
              <w:rPr>
                <w:rFonts w:cs="Arial"/>
                <w:b/>
                <w:lang w:val="en-NZ"/>
              </w:rPr>
              <w:lastRenderedPageBreak/>
              <w:t>Directory of Assessment Standards (DAS)</w:t>
            </w:r>
          </w:p>
        </w:tc>
        <w:tc>
          <w:tcPr>
            <w:tcW w:w="7324" w:type="dxa"/>
            <w:shd w:val="clear" w:color="auto" w:fill="auto"/>
          </w:tcPr>
          <w:p w14:paraId="584AAA11" w14:textId="5DE204AF" w:rsidR="00A82328" w:rsidRPr="0003653F" w:rsidRDefault="00A82328" w:rsidP="004A4158">
            <w:pPr>
              <w:pStyle w:val="TableText"/>
              <w:spacing w:beforeLines="60" w:before="144"/>
              <w:ind w:right="245"/>
              <w:rPr>
                <w:rFonts w:cs="Arial"/>
                <w:iCs/>
                <w:color w:val="000000"/>
              </w:rPr>
            </w:pPr>
            <w:r w:rsidRPr="0003653F">
              <w:rPr>
                <w:rFonts w:cs="Arial"/>
                <w:iCs/>
                <w:color w:val="000000"/>
                <w:lang w:val="en-NZ"/>
              </w:rPr>
              <w:t xml:space="preserve">An NZQA managed and hosted directory containing </w:t>
            </w:r>
            <w:r w:rsidR="00C45490">
              <w:rPr>
                <w:rFonts w:cs="Arial"/>
                <w:iCs/>
                <w:color w:val="000000"/>
                <w:lang w:val="en-NZ"/>
              </w:rPr>
              <w:t xml:space="preserve">NZQF </w:t>
            </w:r>
            <w:r w:rsidRPr="0003653F">
              <w:rPr>
                <w:rFonts w:cs="Arial"/>
                <w:iCs/>
                <w:color w:val="000000"/>
                <w:lang w:val="en-NZ"/>
              </w:rPr>
              <w:t>standards (achievement standards and unit standards) divid</w:t>
            </w:r>
            <w:r w:rsidR="00420D8E" w:rsidRPr="0003653F">
              <w:rPr>
                <w:rFonts w:cs="Arial"/>
                <w:iCs/>
                <w:color w:val="000000"/>
                <w:lang w:val="en-NZ"/>
              </w:rPr>
              <w:t>ed hierarchically into f</w:t>
            </w:r>
            <w:r w:rsidRPr="0003653F">
              <w:rPr>
                <w:rFonts w:cs="Arial"/>
                <w:iCs/>
                <w:color w:val="000000"/>
                <w:lang w:val="en-NZ"/>
              </w:rPr>
              <w:t>ields, sub-</w:t>
            </w:r>
            <w:proofErr w:type="gramStart"/>
            <w:r w:rsidRPr="0003653F">
              <w:rPr>
                <w:rFonts w:cs="Arial"/>
                <w:iCs/>
                <w:color w:val="000000"/>
                <w:lang w:val="en-NZ"/>
              </w:rPr>
              <w:t>fields</w:t>
            </w:r>
            <w:proofErr w:type="gramEnd"/>
            <w:r w:rsidRPr="0003653F">
              <w:rPr>
                <w:rFonts w:cs="Arial"/>
                <w:iCs/>
                <w:color w:val="000000"/>
                <w:lang w:val="en-NZ"/>
              </w:rPr>
              <w:t xml:space="preserve"> and domains of learning.</w:t>
            </w:r>
          </w:p>
        </w:tc>
      </w:tr>
      <w:tr w:rsidR="0008034F" w:rsidRPr="0003653F" w14:paraId="490D06EB" w14:textId="77777777" w:rsidTr="000F3175">
        <w:tc>
          <w:tcPr>
            <w:tcW w:w="2281" w:type="dxa"/>
            <w:shd w:val="clear" w:color="auto" w:fill="auto"/>
          </w:tcPr>
          <w:p w14:paraId="00893787" w14:textId="77777777" w:rsidR="0008034F" w:rsidRPr="0003653F" w:rsidRDefault="0008034F" w:rsidP="00D03B05">
            <w:pPr>
              <w:pStyle w:val="TableText"/>
              <w:spacing w:beforeLines="60" w:before="144" w:after="0"/>
              <w:rPr>
                <w:rFonts w:cs="Arial"/>
                <w:b/>
                <w:lang w:val="en-NZ"/>
              </w:rPr>
            </w:pPr>
            <w:r w:rsidRPr="0003653F">
              <w:rPr>
                <w:rFonts w:cs="Arial"/>
                <w:b/>
                <w:lang w:val="en-NZ"/>
              </w:rPr>
              <w:t>Dismissal</w:t>
            </w:r>
          </w:p>
        </w:tc>
        <w:tc>
          <w:tcPr>
            <w:tcW w:w="7324" w:type="dxa"/>
            <w:shd w:val="clear" w:color="auto" w:fill="auto"/>
          </w:tcPr>
          <w:p w14:paraId="19B17CCA" w14:textId="33FD8C90" w:rsidR="002C1560" w:rsidRPr="0003653F" w:rsidRDefault="0008034F" w:rsidP="004A4158">
            <w:pPr>
              <w:pStyle w:val="TableText"/>
              <w:spacing w:beforeLines="60" w:before="144" w:after="0"/>
              <w:ind w:right="240"/>
              <w:rPr>
                <w:rFonts w:cs="Arial"/>
                <w:iCs/>
                <w:color w:val="000000"/>
                <w:lang w:val="en-NZ"/>
              </w:rPr>
            </w:pPr>
            <w:r w:rsidRPr="0003653F">
              <w:rPr>
                <w:rFonts w:cs="Arial"/>
                <w:iCs/>
                <w:color w:val="000000"/>
                <w:lang w:val="en-NZ"/>
              </w:rPr>
              <w:t xml:space="preserve">To prevent a </w:t>
            </w:r>
            <w:r w:rsidR="00893B2F">
              <w:rPr>
                <w:rFonts w:cs="Arial"/>
                <w:iCs/>
                <w:color w:val="000000"/>
                <w:lang w:val="en-NZ"/>
              </w:rPr>
              <w:t>learner</w:t>
            </w:r>
            <w:r w:rsidRPr="0003653F">
              <w:rPr>
                <w:rFonts w:cs="Arial"/>
                <w:iCs/>
                <w:color w:val="000000"/>
                <w:lang w:val="en-NZ"/>
              </w:rPr>
              <w:t xml:space="preserve"> from attending a class</w:t>
            </w:r>
            <w:r w:rsidR="008F16D6">
              <w:rPr>
                <w:rFonts w:cs="Arial"/>
                <w:iCs/>
                <w:color w:val="000000"/>
                <w:lang w:val="en-NZ"/>
              </w:rPr>
              <w:t xml:space="preserve">, </w:t>
            </w:r>
            <w:r w:rsidRPr="0003653F">
              <w:rPr>
                <w:rFonts w:cs="Arial"/>
                <w:iCs/>
                <w:color w:val="000000"/>
                <w:lang w:val="en-NZ"/>
              </w:rPr>
              <w:t xml:space="preserve">campus or </w:t>
            </w:r>
            <w:r w:rsidR="008F16D6">
              <w:rPr>
                <w:rFonts w:cs="Arial"/>
                <w:iCs/>
                <w:color w:val="000000"/>
                <w:lang w:val="en-NZ"/>
              </w:rPr>
              <w:t xml:space="preserve">activity </w:t>
            </w:r>
            <w:r w:rsidRPr="0003653F">
              <w:rPr>
                <w:rFonts w:cs="Arial"/>
                <w:iCs/>
                <w:color w:val="000000"/>
                <w:lang w:val="en-NZ"/>
              </w:rPr>
              <w:t xml:space="preserve">for a period not exceeding two working days.  </w:t>
            </w:r>
          </w:p>
        </w:tc>
      </w:tr>
      <w:tr w:rsidR="00554B0D" w:rsidRPr="0003653F" w14:paraId="1040C23A" w14:textId="77777777" w:rsidTr="0008034F">
        <w:tc>
          <w:tcPr>
            <w:tcW w:w="2268" w:type="dxa"/>
            <w:shd w:val="clear" w:color="auto" w:fill="auto"/>
          </w:tcPr>
          <w:p w14:paraId="13CF4A0A" w14:textId="7EF3D52A" w:rsidR="00554B0D" w:rsidRPr="0003653F" w:rsidRDefault="00D72A1B" w:rsidP="00D03B05">
            <w:pPr>
              <w:pStyle w:val="TableText"/>
              <w:spacing w:beforeLines="60" w:before="144" w:after="0"/>
              <w:rPr>
                <w:rFonts w:cs="Arial"/>
                <w:b/>
                <w:lang w:val="en-NZ"/>
              </w:rPr>
            </w:pPr>
            <w:r w:rsidRPr="0003653F">
              <w:rPr>
                <w:rFonts w:cs="Arial"/>
                <w:b/>
                <w:lang w:val="en-NZ"/>
              </w:rPr>
              <w:t xml:space="preserve">Domestic </w:t>
            </w:r>
            <w:r w:rsidR="00893B2F">
              <w:rPr>
                <w:rFonts w:cs="Arial"/>
                <w:b/>
                <w:lang w:val="en-NZ"/>
              </w:rPr>
              <w:t>learner</w:t>
            </w:r>
          </w:p>
        </w:tc>
        <w:tc>
          <w:tcPr>
            <w:tcW w:w="7337" w:type="dxa"/>
            <w:shd w:val="clear" w:color="auto" w:fill="auto"/>
          </w:tcPr>
          <w:p w14:paraId="12582991" w14:textId="77777777" w:rsidR="00A35098" w:rsidRPr="0003653F" w:rsidRDefault="00D72A1B" w:rsidP="00EA2114">
            <w:pPr>
              <w:pStyle w:val="BlockText"/>
              <w:spacing w:beforeLines="60" w:before="144" w:after="0"/>
              <w:ind w:left="34"/>
              <w:rPr>
                <w:rFonts w:cs="Arial"/>
                <w:iCs/>
                <w:color w:val="000000"/>
                <w:lang w:val="en-NZ"/>
              </w:rPr>
            </w:pPr>
            <w:r w:rsidRPr="0003653F">
              <w:rPr>
                <w:rFonts w:cs="Arial"/>
                <w:iCs/>
                <w:color w:val="000000"/>
                <w:lang w:val="en-NZ"/>
              </w:rPr>
              <w:t>A person who is, at that tim</w:t>
            </w:r>
            <w:r w:rsidR="00420D8E" w:rsidRPr="0003653F">
              <w:rPr>
                <w:rFonts w:cs="Arial"/>
                <w:iCs/>
                <w:color w:val="000000"/>
                <w:lang w:val="en-NZ"/>
              </w:rPr>
              <w:t>e:</w:t>
            </w:r>
          </w:p>
          <w:p w14:paraId="5B3F6189" w14:textId="77777777" w:rsidR="00A35098" w:rsidRPr="0003653F" w:rsidRDefault="00D72A1B" w:rsidP="002C1560">
            <w:pPr>
              <w:pStyle w:val="TableText"/>
              <w:spacing w:before="0"/>
              <w:rPr>
                <w:rFonts w:cs="Arial"/>
                <w:iCs/>
                <w:color w:val="000000"/>
                <w:lang w:val="en-NZ"/>
              </w:rPr>
            </w:pPr>
            <w:r w:rsidRPr="0003653F">
              <w:rPr>
                <w:rFonts w:cs="Arial"/>
                <w:iCs/>
                <w:color w:val="000000"/>
                <w:lang w:val="en-NZ"/>
              </w:rPr>
              <w:t>(a) a New Zealand citizen; or</w:t>
            </w:r>
          </w:p>
          <w:p w14:paraId="298DB803" w14:textId="77777777" w:rsidR="00A35098" w:rsidRPr="0003653F" w:rsidRDefault="00D72A1B" w:rsidP="002C1560">
            <w:pPr>
              <w:pStyle w:val="TableText"/>
              <w:spacing w:before="0"/>
              <w:rPr>
                <w:rFonts w:cs="Arial"/>
                <w:iCs/>
                <w:color w:val="000000"/>
                <w:lang w:val="en-NZ"/>
              </w:rPr>
            </w:pPr>
            <w:r w:rsidRPr="0003653F">
              <w:rPr>
                <w:rFonts w:cs="Arial"/>
                <w:iCs/>
                <w:color w:val="000000"/>
                <w:lang w:val="en-NZ"/>
              </w:rPr>
              <w:t xml:space="preserve">(b) the holder of a residence class visa granted under the </w:t>
            </w:r>
            <w:hyperlink r:id="rId17" w:history="1">
              <w:r w:rsidRPr="0003653F">
                <w:rPr>
                  <w:rFonts w:cs="Arial"/>
                  <w:iCs/>
                  <w:color w:val="000000"/>
                  <w:lang w:val="en-NZ"/>
                </w:rPr>
                <w:t>Immigration Act 2009</w:t>
              </w:r>
            </w:hyperlink>
            <w:r w:rsidRPr="0003653F">
              <w:rPr>
                <w:rFonts w:cs="Arial"/>
                <w:iCs/>
                <w:color w:val="000000"/>
                <w:lang w:val="en-NZ"/>
              </w:rPr>
              <w:t xml:space="preserve"> who satisfies the criteria (if any) prescribed by regulations made under subsection (4); or</w:t>
            </w:r>
          </w:p>
          <w:p w14:paraId="3CD90C81" w14:textId="40C43EDF" w:rsidR="00A35098" w:rsidRPr="0003653F" w:rsidRDefault="00D72A1B" w:rsidP="002C1560">
            <w:pPr>
              <w:pStyle w:val="TableText"/>
              <w:spacing w:before="0"/>
              <w:rPr>
                <w:rFonts w:cs="Arial"/>
                <w:iCs/>
                <w:color w:val="000000"/>
                <w:lang w:val="en-NZ"/>
              </w:rPr>
            </w:pPr>
            <w:r w:rsidRPr="0003653F">
              <w:rPr>
                <w:rFonts w:cs="Arial"/>
                <w:iCs/>
                <w:color w:val="000000"/>
                <w:lang w:val="en-NZ"/>
              </w:rPr>
              <w:t>(c) a person of a class or description of persons required by the Minister</w:t>
            </w:r>
            <w:r w:rsidR="001246DF" w:rsidRPr="0003653F">
              <w:rPr>
                <w:rFonts w:cs="Arial"/>
                <w:iCs/>
                <w:color w:val="000000"/>
                <w:lang w:val="en-NZ"/>
              </w:rPr>
              <w:t xml:space="preserve"> for Tertiary Education</w:t>
            </w:r>
            <w:r w:rsidRPr="0003653F">
              <w:rPr>
                <w:rFonts w:cs="Arial"/>
                <w:iCs/>
                <w:color w:val="000000"/>
                <w:lang w:val="en-NZ"/>
              </w:rPr>
              <w:t xml:space="preserve">, by notice, to be treated as if they are not international </w:t>
            </w:r>
            <w:r w:rsidR="00893B2F">
              <w:rPr>
                <w:rFonts w:cs="Arial"/>
                <w:iCs/>
                <w:color w:val="000000"/>
                <w:lang w:val="en-NZ"/>
              </w:rPr>
              <w:t>learner</w:t>
            </w:r>
            <w:r w:rsidRPr="0003653F">
              <w:rPr>
                <w:rFonts w:cs="Arial"/>
                <w:iCs/>
                <w:color w:val="000000"/>
                <w:lang w:val="en-NZ"/>
              </w:rPr>
              <w:t>s.</w:t>
            </w:r>
          </w:p>
          <w:p w14:paraId="327D6963" w14:textId="5BC4F5CF" w:rsidR="002F0892" w:rsidRPr="0003653F" w:rsidRDefault="00D72A1B" w:rsidP="004A4158">
            <w:pPr>
              <w:pStyle w:val="BlockText"/>
              <w:spacing w:beforeLines="60" w:before="144" w:after="0"/>
              <w:ind w:left="34"/>
              <w:rPr>
                <w:rFonts w:cs="Arial"/>
                <w:bCs/>
                <w:iCs/>
                <w:color w:val="000000"/>
                <w:lang w:val="en-NZ"/>
              </w:rPr>
            </w:pPr>
            <w:r w:rsidRPr="0003653F">
              <w:rPr>
                <w:rFonts w:cs="Arial"/>
                <w:b/>
                <w:lang w:val="en-NZ"/>
              </w:rPr>
              <w:t>Note:</w:t>
            </w:r>
            <w:r w:rsidRPr="0003653F">
              <w:rPr>
                <w:rFonts w:cs="Arial"/>
                <w:lang w:val="en-NZ"/>
              </w:rPr>
              <w:t xml:space="preserve"> A refugee is not considered a domestic </w:t>
            </w:r>
            <w:r w:rsidR="00893B2F">
              <w:rPr>
                <w:rFonts w:cs="Arial"/>
                <w:lang w:val="en-NZ"/>
              </w:rPr>
              <w:t>learner</w:t>
            </w:r>
            <w:r w:rsidRPr="0003653F">
              <w:rPr>
                <w:rFonts w:cs="Arial"/>
                <w:lang w:val="en-NZ"/>
              </w:rPr>
              <w:t xml:space="preserve"> until their residency is granted</w:t>
            </w:r>
            <w:r w:rsidR="006A2BCD">
              <w:rPr>
                <w:rFonts w:cs="Arial"/>
                <w:lang w:val="en-NZ"/>
              </w:rPr>
              <w:t xml:space="preserve"> unless specifically covered by</w:t>
            </w:r>
            <w:r w:rsidR="00222340">
              <w:rPr>
                <w:rFonts w:cs="Arial"/>
                <w:lang w:val="en-NZ"/>
              </w:rPr>
              <w:t xml:space="preserve"> </w:t>
            </w:r>
            <w:proofErr w:type="gramStart"/>
            <w:r w:rsidR="00222340">
              <w:rPr>
                <w:rFonts w:cs="Arial"/>
                <w:lang w:val="en-NZ"/>
              </w:rPr>
              <w:t>subsection  (</w:t>
            </w:r>
            <w:proofErr w:type="gramEnd"/>
            <w:r w:rsidR="00222340">
              <w:rPr>
                <w:rFonts w:cs="Arial"/>
                <w:lang w:val="en-NZ"/>
              </w:rPr>
              <w:t xml:space="preserve"> c ) above</w:t>
            </w:r>
            <w:r w:rsidR="006A2BCD">
              <w:rPr>
                <w:rFonts w:cs="Arial"/>
                <w:lang w:val="en-NZ"/>
              </w:rPr>
              <w:t xml:space="preserve"> </w:t>
            </w:r>
            <w:r w:rsidRPr="0003653F">
              <w:rPr>
                <w:rFonts w:cs="Arial"/>
                <w:lang w:val="en-NZ"/>
              </w:rPr>
              <w:t xml:space="preserve">. </w:t>
            </w:r>
          </w:p>
        </w:tc>
      </w:tr>
      <w:tr w:rsidR="00835314" w:rsidRPr="0003653F" w14:paraId="549B6EEB" w14:textId="77777777" w:rsidTr="0008034F">
        <w:tc>
          <w:tcPr>
            <w:tcW w:w="2268" w:type="dxa"/>
            <w:shd w:val="clear" w:color="auto" w:fill="auto"/>
          </w:tcPr>
          <w:p w14:paraId="1F67D495" w14:textId="77777777" w:rsidR="00835314" w:rsidRPr="0003653F" w:rsidRDefault="00835314" w:rsidP="00D03B05">
            <w:pPr>
              <w:pStyle w:val="TableText"/>
              <w:spacing w:beforeLines="60" w:before="144" w:after="0"/>
              <w:rPr>
                <w:rFonts w:cs="Arial"/>
                <w:b/>
                <w:lang w:val="en-NZ"/>
              </w:rPr>
            </w:pPr>
            <w:r w:rsidRPr="0003653F">
              <w:rPr>
                <w:rFonts w:cs="Arial"/>
                <w:b/>
                <w:lang w:val="en-NZ"/>
              </w:rPr>
              <w:t>EFTS</w:t>
            </w:r>
          </w:p>
        </w:tc>
        <w:tc>
          <w:tcPr>
            <w:tcW w:w="7337" w:type="dxa"/>
            <w:shd w:val="clear" w:color="auto" w:fill="auto"/>
          </w:tcPr>
          <w:p w14:paraId="6D5323BB" w14:textId="19196B26" w:rsidR="00835314" w:rsidRPr="0003653F" w:rsidRDefault="00835314" w:rsidP="00D03B05">
            <w:pPr>
              <w:pStyle w:val="BlockText"/>
              <w:spacing w:beforeLines="60" w:before="144" w:after="0"/>
              <w:ind w:left="34"/>
              <w:rPr>
                <w:rFonts w:cs="Arial"/>
                <w:lang w:val="en-NZ"/>
              </w:rPr>
            </w:pPr>
            <w:r w:rsidRPr="0003653F">
              <w:rPr>
                <w:rFonts w:cs="Arial"/>
                <w:lang w:val="en-NZ"/>
              </w:rPr>
              <w:t>Equivalent full</w:t>
            </w:r>
            <w:r w:rsidR="00772FB1" w:rsidRPr="0003653F">
              <w:rPr>
                <w:rFonts w:cs="Arial"/>
                <w:lang w:val="en-NZ"/>
              </w:rPr>
              <w:t>-</w:t>
            </w:r>
            <w:r w:rsidRPr="0003653F">
              <w:rPr>
                <w:rFonts w:cs="Arial"/>
                <w:lang w:val="en-NZ"/>
              </w:rPr>
              <w:t xml:space="preserve">time </w:t>
            </w:r>
            <w:r w:rsidR="00893B2F">
              <w:rPr>
                <w:rFonts w:cs="Arial"/>
                <w:lang w:val="en-NZ"/>
              </w:rPr>
              <w:t>learner</w:t>
            </w:r>
            <w:r w:rsidRPr="0003653F">
              <w:rPr>
                <w:rFonts w:cs="Arial"/>
                <w:lang w:val="en-NZ"/>
              </w:rPr>
              <w:t xml:space="preserve">.  The Tertiary Education Commission decides if a course is either full-time or part-time by applying what's called an EFTS value to each course. The EFTS value is a measure of the amount of </w:t>
            </w:r>
            <w:proofErr w:type="gramStart"/>
            <w:r w:rsidRPr="0003653F">
              <w:rPr>
                <w:rFonts w:cs="Arial"/>
                <w:lang w:val="en-NZ"/>
              </w:rPr>
              <w:t>study</w:t>
            </w:r>
            <w:proofErr w:type="gramEnd"/>
            <w:r w:rsidRPr="0003653F">
              <w:rPr>
                <w:rFonts w:cs="Arial"/>
                <w:lang w:val="en-NZ"/>
              </w:rPr>
              <w:t xml:space="preserve"> or the workload involved in undertaking a course.</w:t>
            </w:r>
          </w:p>
          <w:p w14:paraId="5FD0495D" w14:textId="031ED455" w:rsidR="00835314" w:rsidRPr="0003653F" w:rsidRDefault="00835314" w:rsidP="004A4158">
            <w:pPr>
              <w:pStyle w:val="BlockText"/>
              <w:spacing w:beforeLines="40" w:before="96" w:after="0"/>
              <w:ind w:left="34"/>
              <w:rPr>
                <w:rFonts w:cs="Arial"/>
                <w:lang w:val="en-NZ"/>
              </w:rPr>
            </w:pPr>
            <w:r w:rsidRPr="0003653F">
              <w:rPr>
                <w:rFonts w:cs="Arial"/>
                <w:lang w:val="en-NZ"/>
              </w:rPr>
              <w:t>A year of full-time study is usually between 0.8 EFTS and 1.2 EFTS.</w:t>
            </w:r>
          </w:p>
        </w:tc>
      </w:tr>
      <w:tr w:rsidR="003968A9" w:rsidRPr="0003653F" w14:paraId="7C8C775B" w14:textId="77777777" w:rsidTr="0008034F">
        <w:tc>
          <w:tcPr>
            <w:tcW w:w="2268" w:type="dxa"/>
            <w:shd w:val="clear" w:color="auto" w:fill="auto"/>
          </w:tcPr>
          <w:p w14:paraId="69FB0A0E" w14:textId="77777777" w:rsidR="003968A9" w:rsidRPr="0003653F" w:rsidRDefault="003968A9" w:rsidP="00D03B05">
            <w:pPr>
              <w:pStyle w:val="TableText"/>
              <w:spacing w:beforeLines="60" w:before="144" w:after="0"/>
              <w:rPr>
                <w:rFonts w:cs="Arial"/>
                <w:b/>
                <w:lang w:val="en-NZ"/>
              </w:rPr>
            </w:pPr>
            <w:r w:rsidRPr="0003653F">
              <w:rPr>
                <w:rFonts w:cs="Arial"/>
                <w:b/>
                <w:lang w:val="en-NZ"/>
              </w:rPr>
              <w:t>Electronic signature</w:t>
            </w:r>
          </w:p>
        </w:tc>
        <w:tc>
          <w:tcPr>
            <w:tcW w:w="7337" w:type="dxa"/>
            <w:shd w:val="clear" w:color="auto" w:fill="auto"/>
          </w:tcPr>
          <w:p w14:paraId="2DFDCC1E" w14:textId="44E97542" w:rsidR="003968A9" w:rsidRPr="0003653F" w:rsidRDefault="003968A9" w:rsidP="004A4158">
            <w:pPr>
              <w:pStyle w:val="BlockText"/>
              <w:spacing w:beforeLines="40" w:before="96" w:after="0"/>
              <w:ind w:left="34"/>
              <w:rPr>
                <w:rFonts w:cs="Arial"/>
                <w:lang w:val="en-NZ"/>
              </w:rPr>
            </w:pPr>
            <w:r w:rsidRPr="0003653F">
              <w:rPr>
                <w:rFonts w:cs="Arial"/>
                <w:lang w:val="en-NZ"/>
              </w:rPr>
              <w:t xml:space="preserve">In relation to information in electronic form, </w:t>
            </w:r>
            <w:r w:rsidR="0045642A" w:rsidRPr="0003653F">
              <w:rPr>
                <w:rFonts w:cs="Arial"/>
                <w:lang w:val="en-NZ"/>
              </w:rPr>
              <w:t xml:space="preserve">means </w:t>
            </w:r>
            <w:r w:rsidRPr="0003653F">
              <w:rPr>
                <w:rFonts w:cs="Arial"/>
                <w:lang w:val="en-NZ"/>
              </w:rPr>
              <w:t>a method used to identify a person and indicate that per</w:t>
            </w:r>
            <w:r w:rsidR="00CE1E1F" w:rsidRPr="0003653F">
              <w:rPr>
                <w:rFonts w:cs="Arial"/>
                <w:lang w:val="en-NZ"/>
              </w:rPr>
              <w:t>s</w:t>
            </w:r>
            <w:r w:rsidRPr="0003653F">
              <w:rPr>
                <w:rFonts w:cs="Arial"/>
                <w:lang w:val="en-NZ"/>
              </w:rPr>
              <w:t>on's approval of that information</w:t>
            </w:r>
            <w:r w:rsidR="007059C5" w:rsidRPr="0003653F">
              <w:rPr>
                <w:rFonts w:cs="Arial"/>
                <w:lang w:val="en-NZ"/>
              </w:rPr>
              <w:t>, which</w:t>
            </w:r>
            <w:r w:rsidR="00CA2CAA" w:rsidRPr="0003653F">
              <w:rPr>
                <w:rFonts w:cs="Arial"/>
                <w:lang w:val="en-NZ"/>
              </w:rPr>
              <w:t xml:space="preserve"> satisfies the requirements of the Electronic Transactions Act 2002 and</w:t>
            </w:r>
            <w:r w:rsidR="00A22ECA" w:rsidRPr="0003653F">
              <w:rPr>
                <w:rFonts w:cs="Arial"/>
                <w:lang w:val="en-NZ"/>
              </w:rPr>
              <w:t xml:space="preserve">, in relation to enrolment, </w:t>
            </w:r>
            <w:r w:rsidR="00CA2CAA" w:rsidRPr="0003653F">
              <w:rPr>
                <w:rFonts w:cs="Arial"/>
                <w:lang w:val="en-NZ"/>
              </w:rPr>
              <w:t>TEC security requirements</w:t>
            </w:r>
            <w:r w:rsidRPr="0003653F">
              <w:rPr>
                <w:rFonts w:cs="Arial"/>
                <w:lang w:val="en-NZ"/>
              </w:rPr>
              <w:t>.</w:t>
            </w:r>
          </w:p>
        </w:tc>
      </w:tr>
      <w:tr w:rsidR="00D521FF" w:rsidRPr="0003653F" w14:paraId="565B83CE" w14:textId="77777777" w:rsidTr="0008034F">
        <w:tc>
          <w:tcPr>
            <w:tcW w:w="2268" w:type="dxa"/>
            <w:shd w:val="clear" w:color="auto" w:fill="auto"/>
          </w:tcPr>
          <w:p w14:paraId="33CBE3CF" w14:textId="77777777" w:rsidR="00D521FF" w:rsidRPr="0003653F" w:rsidRDefault="00D72A1B" w:rsidP="00D03B05">
            <w:pPr>
              <w:pStyle w:val="TableText"/>
              <w:spacing w:beforeLines="60" w:before="144" w:after="0"/>
              <w:rPr>
                <w:rFonts w:cs="Arial"/>
                <w:b/>
                <w:lang w:val="en-NZ"/>
              </w:rPr>
            </w:pPr>
            <w:r w:rsidRPr="0003653F">
              <w:rPr>
                <w:rFonts w:cs="Arial"/>
                <w:b/>
                <w:lang w:val="en-NZ"/>
              </w:rPr>
              <w:t>Enrolment</w:t>
            </w:r>
          </w:p>
        </w:tc>
        <w:tc>
          <w:tcPr>
            <w:tcW w:w="7337" w:type="dxa"/>
            <w:shd w:val="clear" w:color="auto" w:fill="auto"/>
          </w:tcPr>
          <w:p w14:paraId="07580243" w14:textId="3A55D4C2" w:rsidR="00D521FF" w:rsidRPr="0003653F" w:rsidRDefault="00D72A1B" w:rsidP="004A4158">
            <w:pPr>
              <w:pStyle w:val="TableText"/>
              <w:spacing w:beforeLines="60" w:before="144" w:after="0"/>
              <w:rPr>
                <w:rFonts w:cs="Arial"/>
                <w:lang w:val="en-NZ"/>
              </w:rPr>
            </w:pPr>
            <w:r w:rsidRPr="0003653F">
              <w:rPr>
                <w:rFonts w:cs="Arial"/>
                <w:bCs/>
                <w:iCs/>
                <w:color w:val="000000"/>
                <w:lang w:val="en-NZ"/>
              </w:rPr>
              <w:t>T</w:t>
            </w:r>
            <w:r w:rsidRPr="0003653F">
              <w:rPr>
                <w:rFonts w:cs="Arial"/>
                <w:iCs/>
                <w:color w:val="000000"/>
                <w:lang w:val="en-NZ"/>
              </w:rPr>
              <w:t xml:space="preserve">he process of allocating to an eligible </w:t>
            </w:r>
            <w:r w:rsidR="00893B2F">
              <w:rPr>
                <w:rFonts w:cs="Arial"/>
                <w:iCs/>
                <w:color w:val="000000"/>
                <w:lang w:val="en-NZ"/>
              </w:rPr>
              <w:t>learner</w:t>
            </w:r>
            <w:r w:rsidRPr="0003653F">
              <w:rPr>
                <w:rFonts w:cs="Arial"/>
                <w:iCs/>
                <w:color w:val="000000"/>
                <w:lang w:val="en-NZ"/>
              </w:rPr>
              <w:t xml:space="preserve"> a place </w:t>
            </w:r>
            <w:r w:rsidR="005F478E" w:rsidRPr="0003653F">
              <w:rPr>
                <w:rFonts w:cs="Arial"/>
                <w:iCs/>
                <w:color w:val="000000"/>
                <w:lang w:val="en-NZ"/>
              </w:rPr>
              <w:t xml:space="preserve">in </w:t>
            </w:r>
            <w:r w:rsidRPr="0003653F">
              <w:rPr>
                <w:rFonts w:cs="Arial"/>
                <w:iCs/>
                <w:color w:val="000000"/>
                <w:lang w:val="en-NZ"/>
              </w:rPr>
              <w:t>a programme/course.</w:t>
            </w:r>
          </w:p>
        </w:tc>
      </w:tr>
      <w:tr w:rsidR="00D521FF" w:rsidRPr="0003653F" w14:paraId="0D5CD25F" w14:textId="77777777" w:rsidTr="0008034F">
        <w:tc>
          <w:tcPr>
            <w:tcW w:w="2268" w:type="dxa"/>
            <w:shd w:val="clear" w:color="auto" w:fill="auto"/>
          </w:tcPr>
          <w:p w14:paraId="0FDC49E9" w14:textId="77777777" w:rsidR="00D521FF" w:rsidRPr="00454EF2" w:rsidRDefault="00D72A1B" w:rsidP="00454EF2">
            <w:pPr>
              <w:pStyle w:val="TableText"/>
              <w:rPr>
                <w:b/>
                <w:bCs/>
                <w:lang w:val="en-NZ"/>
              </w:rPr>
            </w:pPr>
            <w:r w:rsidRPr="00454EF2">
              <w:rPr>
                <w:b/>
                <w:bCs/>
              </w:rPr>
              <w:t>Enrolment</w:t>
            </w:r>
            <w:r w:rsidRPr="00454EF2">
              <w:rPr>
                <w:b/>
                <w:bCs/>
                <w:lang w:val="en-NZ"/>
              </w:rPr>
              <w:t xml:space="preserve"> period</w:t>
            </w:r>
          </w:p>
        </w:tc>
        <w:tc>
          <w:tcPr>
            <w:tcW w:w="7337" w:type="dxa"/>
            <w:shd w:val="clear" w:color="auto" w:fill="auto"/>
          </w:tcPr>
          <w:p w14:paraId="1886FB21" w14:textId="22DB906B" w:rsidR="00D521FF" w:rsidRPr="0003653F" w:rsidRDefault="00D72A1B" w:rsidP="004A4158">
            <w:pPr>
              <w:pStyle w:val="TableText"/>
              <w:rPr>
                <w:rFonts w:cs="Arial"/>
                <w:lang w:val="en-NZ"/>
              </w:rPr>
            </w:pPr>
            <w:r w:rsidRPr="00454EF2">
              <w:t>The</w:t>
            </w:r>
            <w:r w:rsidRPr="0003653F">
              <w:rPr>
                <w:lang w:val="en-NZ"/>
              </w:rPr>
              <w:t xml:space="preserve"> period of time from which a </w:t>
            </w:r>
            <w:r w:rsidR="00893B2F">
              <w:rPr>
                <w:lang w:val="en-NZ"/>
              </w:rPr>
              <w:t>learner</w:t>
            </w:r>
            <w:r w:rsidRPr="0003653F">
              <w:rPr>
                <w:lang w:val="en-NZ"/>
              </w:rPr>
              <w:t xml:space="preserve"> has enrolled and paid their fees and has attended classes up to the time that they either withdraw from the </w:t>
            </w:r>
            <w:proofErr w:type="gramStart"/>
            <w:r w:rsidRPr="0003653F">
              <w:rPr>
                <w:lang w:val="en-NZ"/>
              </w:rPr>
              <w:t>course, or</w:t>
            </w:r>
            <w:proofErr w:type="gramEnd"/>
            <w:r w:rsidRPr="0003653F">
              <w:rPr>
                <w:lang w:val="en-NZ"/>
              </w:rPr>
              <w:t xml:space="preserve"> complete the course through to its end date.</w:t>
            </w:r>
          </w:p>
        </w:tc>
      </w:tr>
      <w:tr w:rsidR="00D521FF" w:rsidRPr="0003653F" w14:paraId="1B621685" w14:textId="77777777" w:rsidTr="0008034F">
        <w:tc>
          <w:tcPr>
            <w:tcW w:w="2268" w:type="dxa"/>
            <w:shd w:val="clear" w:color="auto" w:fill="auto"/>
          </w:tcPr>
          <w:p w14:paraId="3CFF2E86" w14:textId="77777777" w:rsidR="00D521FF" w:rsidRPr="0003653F" w:rsidRDefault="00D72A1B" w:rsidP="00D03B05">
            <w:pPr>
              <w:pStyle w:val="TableText"/>
              <w:spacing w:beforeLines="60" w:before="144" w:after="0"/>
              <w:rPr>
                <w:rFonts w:cs="Arial"/>
                <w:b/>
                <w:lang w:val="en-NZ"/>
              </w:rPr>
            </w:pPr>
            <w:r w:rsidRPr="0003653F">
              <w:rPr>
                <w:rFonts w:cs="Arial"/>
                <w:b/>
                <w:lang w:val="en-NZ"/>
              </w:rPr>
              <w:t>Entry criteria</w:t>
            </w:r>
          </w:p>
        </w:tc>
        <w:tc>
          <w:tcPr>
            <w:tcW w:w="7337" w:type="dxa"/>
            <w:shd w:val="clear" w:color="auto" w:fill="auto"/>
          </w:tcPr>
          <w:p w14:paraId="74B6943E" w14:textId="2DB7B166" w:rsidR="00D521FF" w:rsidRPr="0003653F" w:rsidRDefault="00D72A1B" w:rsidP="004A4158">
            <w:pPr>
              <w:pStyle w:val="TableText"/>
              <w:spacing w:beforeLines="60" w:before="144" w:after="0"/>
              <w:rPr>
                <w:rFonts w:cs="Arial"/>
                <w:lang w:val="en-NZ"/>
              </w:rPr>
            </w:pPr>
            <w:r w:rsidRPr="0003653F">
              <w:rPr>
                <w:rFonts w:cs="Arial"/>
                <w:bCs/>
                <w:iCs/>
                <w:color w:val="000000"/>
                <w:lang w:val="en-NZ"/>
              </w:rPr>
              <w:t>C</w:t>
            </w:r>
            <w:r w:rsidRPr="0003653F">
              <w:rPr>
                <w:rFonts w:cs="Arial"/>
                <w:iCs/>
                <w:color w:val="000000"/>
                <w:lang w:val="en-NZ"/>
              </w:rPr>
              <w:t xml:space="preserve">onditions established for entry of </w:t>
            </w:r>
            <w:r w:rsidR="00893B2F">
              <w:rPr>
                <w:rFonts w:cs="Arial"/>
                <w:iCs/>
                <w:color w:val="000000"/>
                <w:lang w:val="en-NZ"/>
              </w:rPr>
              <w:t>learner</w:t>
            </w:r>
            <w:r w:rsidRPr="0003653F">
              <w:rPr>
                <w:rFonts w:cs="Arial"/>
                <w:iCs/>
                <w:color w:val="000000"/>
                <w:lang w:val="en-NZ"/>
              </w:rPr>
              <w:t xml:space="preserve">s </w:t>
            </w:r>
            <w:r w:rsidR="008C05D3" w:rsidRPr="0003653F">
              <w:rPr>
                <w:rFonts w:cs="Arial"/>
                <w:iCs/>
                <w:color w:val="000000"/>
                <w:lang w:val="en-NZ"/>
              </w:rPr>
              <w:t>i</w:t>
            </w:r>
            <w:r w:rsidRPr="0003653F">
              <w:rPr>
                <w:rFonts w:cs="Arial"/>
                <w:iCs/>
                <w:color w:val="000000"/>
                <w:lang w:val="en-NZ"/>
              </w:rPr>
              <w:t xml:space="preserve">nto a programme, which are deemed necessary to ensure </w:t>
            </w:r>
            <w:r w:rsidR="00893B2F">
              <w:rPr>
                <w:rFonts w:cs="Arial"/>
                <w:iCs/>
                <w:color w:val="000000"/>
                <w:lang w:val="en-NZ"/>
              </w:rPr>
              <w:t>learner</w:t>
            </w:r>
            <w:r w:rsidRPr="0003653F">
              <w:rPr>
                <w:rFonts w:cs="Arial"/>
                <w:iCs/>
                <w:color w:val="000000"/>
                <w:lang w:val="en-NZ"/>
              </w:rPr>
              <w:t xml:space="preserve">s enrolled </w:t>
            </w:r>
            <w:r w:rsidR="00B83B21" w:rsidRPr="0003653F">
              <w:rPr>
                <w:rFonts w:cs="Arial"/>
                <w:iCs/>
                <w:color w:val="000000"/>
                <w:lang w:val="en-NZ"/>
              </w:rPr>
              <w:t>i</w:t>
            </w:r>
            <w:r w:rsidRPr="0003653F">
              <w:rPr>
                <w:rFonts w:cs="Arial"/>
                <w:iCs/>
                <w:color w:val="000000"/>
                <w:lang w:val="en-NZ"/>
              </w:rPr>
              <w:t>n the programme have a reasonable chance of successfully completing the programme.</w:t>
            </w:r>
            <w:r w:rsidRPr="0003653F">
              <w:rPr>
                <w:rFonts w:cs="Arial"/>
                <w:iCs/>
                <w:color w:val="000000"/>
                <w:lang w:val="en-NZ"/>
              </w:rPr>
              <w:br/>
              <w:t xml:space="preserve">Entry criteria are set out in the </w:t>
            </w:r>
            <w:r w:rsidR="00C8575C" w:rsidRPr="0003653F">
              <w:rPr>
                <w:rFonts w:cs="Arial"/>
                <w:iCs/>
                <w:color w:val="000000"/>
                <w:lang w:val="en-NZ"/>
              </w:rPr>
              <w:t xml:space="preserve">Programme </w:t>
            </w:r>
            <w:r w:rsidR="00B85F0F" w:rsidRPr="0003653F">
              <w:rPr>
                <w:rFonts w:cs="Arial"/>
                <w:iCs/>
                <w:color w:val="000000"/>
                <w:lang w:val="en-NZ"/>
              </w:rPr>
              <w:t xml:space="preserve">or Training Scheme </w:t>
            </w:r>
            <w:r w:rsidR="00C8575C" w:rsidRPr="0003653F">
              <w:rPr>
                <w:rFonts w:cs="Arial"/>
                <w:iCs/>
                <w:color w:val="000000"/>
                <w:lang w:val="en-NZ"/>
              </w:rPr>
              <w:t>Regulations</w:t>
            </w:r>
            <w:r w:rsidRPr="0003653F">
              <w:rPr>
                <w:rFonts w:cs="Arial"/>
                <w:iCs/>
                <w:color w:val="000000"/>
                <w:lang w:val="en-NZ"/>
              </w:rPr>
              <w:t>.</w:t>
            </w:r>
          </w:p>
        </w:tc>
      </w:tr>
      <w:tr w:rsidR="002E2262" w:rsidRPr="0003653F" w14:paraId="4832F921" w14:textId="77777777" w:rsidTr="0008034F">
        <w:tc>
          <w:tcPr>
            <w:tcW w:w="2268" w:type="dxa"/>
            <w:shd w:val="clear" w:color="auto" w:fill="auto"/>
          </w:tcPr>
          <w:p w14:paraId="1D06B9DF" w14:textId="77777777" w:rsidR="002E2262" w:rsidRPr="0003653F" w:rsidRDefault="002E2262" w:rsidP="00D03B05">
            <w:pPr>
              <w:pStyle w:val="TableText"/>
              <w:spacing w:beforeLines="60" w:before="144" w:after="0"/>
              <w:rPr>
                <w:rFonts w:cs="Arial"/>
                <w:b/>
                <w:lang w:val="en-NZ"/>
              </w:rPr>
            </w:pPr>
            <w:r w:rsidRPr="0003653F">
              <w:rPr>
                <w:rFonts w:cs="Arial"/>
                <w:b/>
                <w:lang w:val="en-NZ"/>
              </w:rPr>
              <w:t>Exclusion</w:t>
            </w:r>
          </w:p>
        </w:tc>
        <w:tc>
          <w:tcPr>
            <w:tcW w:w="7337" w:type="dxa"/>
            <w:shd w:val="clear" w:color="auto" w:fill="auto"/>
          </w:tcPr>
          <w:p w14:paraId="1B2DD437" w14:textId="405A47D4" w:rsidR="009D6ADD" w:rsidRPr="0003653F" w:rsidRDefault="002E2262" w:rsidP="004A4158">
            <w:pPr>
              <w:pStyle w:val="TableText"/>
              <w:spacing w:beforeLines="60" w:before="144" w:after="0"/>
              <w:ind w:right="240"/>
              <w:rPr>
                <w:rFonts w:cs="Arial"/>
                <w:iCs/>
                <w:color w:val="000000"/>
                <w:lang w:val="en-NZ"/>
              </w:rPr>
            </w:pPr>
            <w:r w:rsidRPr="0003653F">
              <w:rPr>
                <w:rFonts w:cs="Arial"/>
                <w:iCs/>
                <w:color w:val="000000"/>
                <w:lang w:val="en-NZ"/>
              </w:rPr>
              <w:t xml:space="preserve">The cancellation of a </w:t>
            </w:r>
            <w:r w:rsidR="00893B2F">
              <w:rPr>
                <w:rFonts w:cs="Arial"/>
                <w:iCs/>
                <w:color w:val="000000"/>
                <w:lang w:val="en-NZ"/>
              </w:rPr>
              <w:t>learner</w:t>
            </w:r>
            <w:r w:rsidRPr="0003653F">
              <w:rPr>
                <w:rFonts w:cs="Arial"/>
                <w:iCs/>
                <w:color w:val="000000"/>
                <w:lang w:val="en-NZ"/>
              </w:rPr>
              <w:t xml:space="preserve">’s enrolment, or the refusal to enrol a </w:t>
            </w:r>
            <w:r w:rsidR="00893B2F">
              <w:rPr>
                <w:rFonts w:cs="Arial"/>
                <w:iCs/>
                <w:color w:val="000000"/>
                <w:lang w:val="en-NZ"/>
              </w:rPr>
              <w:t>learner</w:t>
            </w:r>
            <w:r w:rsidRPr="0003653F">
              <w:rPr>
                <w:rFonts w:cs="Arial"/>
                <w:iCs/>
                <w:color w:val="000000"/>
                <w:lang w:val="en-NZ"/>
              </w:rPr>
              <w:t xml:space="preserve"> at </w:t>
            </w:r>
            <w:r w:rsidR="00893B2F">
              <w:rPr>
                <w:rFonts w:cs="Arial"/>
                <w:iCs/>
                <w:color w:val="000000"/>
                <w:lang w:val="en-NZ"/>
              </w:rPr>
              <w:t>ATNZ</w:t>
            </w:r>
            <w:r w:rsidRPr="0003653F">
              <w:rPr>
                <w:rFonts w:cs="Arial"/>
                <w:iCs/>
                <w:color w:val="000000"/>
                <w:lang w:val="en-NZ"/>
              </w:rPr>
              <w:t xml:space="preserve"> on any of the grounds set out in the </w:t>
            </w:r>
            <w:r w:rsidR="00893B2F">
              <w:rPr>
                <w:rFonts w:cs="Arial"/>
                <w:i/>
                <w:iCs/>
                <w:color w:val="000000"/>
                <w:lang w:val="en-NZ"/>
              </w:rPr>
              <w:t>Learner</w:t>
            </w:r>
            <w:r w:rsidR="000F19C5" w:rsidRPr="0003653F">
              <w:rPr>
                <w:rFonts w:cs="Arial"/>
                <w:i/>
                <w:iCs/>
                <w:color w:val="000000"/>
                <w:lang w:val="en-NZ"/>
              </w:rPr>
              <w:t xml:space="preserve"> </w:t>
            </w:r>
            <w:r w:rsidR="004B3981" w:rsidRPr="0003653F">
              <w:rPr>
                <w:rFonts w:cs="Arial"/>
                <w:i/>
                <w:iCs/>
                <w:color w:val="000000"/>
                <w:lang w:val="en-NZ"/>
              </w:rPr>
              <w:t>R</w:t>
            </w:r>
            <w:r w:rsidRPr="0003653F">
              <w:rPr>
                <w:rFonts w:cs="Arial"/>
                <w:i/>
                <w:iCs/>
                <w:color w:val="000000"/>
                <w:lang w:val="en-NZ"/>
              </w:rPr>
              <w:t>egulations</w:t>
            </w:r>
            <w:r w:rsidRPr="0003653F">
              <w:rPr>
                <w:rFonts w:cs="Arial"/>
                <w:iCs/>
                <w:color w:val="000000"/>
                <w:lang w:val="en-NZ"/>
              </w:rPr>
              <w:t xml:space="preserve">.  Exclusion may be </w:t>
            </w:r>
            <w:r w:rsidR="00120C75" w:rsidRPr="0003653F">
              <w:rPr>
                <w:rFonts w:cs="Arial"/>
                <w:iCs/>
                <w:color w:val="000000"/>
                <w:lang w:val="en-NZ"/>
              </w:rPr>
              <w:t xml:space="preserve">permanent or </w:t>
            </w:r>
            <w:r w:rsidRPr="0003653F">
              <w:rPr>
                <w:rFonts w:cs="Arial"/>
                <w:iCs/>
                <w:color w:val="000000"/>
                <w:lang w:val="en-NZ"/>
              </w:rPr>
              <w:t>for a fixed term.</w:t>
            </w:r>
          </w:p>
        </w:tc>
      </w:tr>
      <w:tr w:rsidR="001E6FC2" w:rsidRPr="0003653F" w14:paraId="3899FF4D" w14:textId="77777777" w:rsidTr="0008034F">
        <w:tc>
          <w:tcPr>
            <w:tcW w:w="2268" w:type="dxa"/>
            <w:shd w:val="clear" w:color="auto" w:fill="auto"/>
          </w:tcPr>
          <w:p w14:paraId="668C34D6" w14:textId="77777777" w:rsidR="001E6FC2" w:rsidRPr="0003653F" w:rsidRDefault="00D72A1B" w:rsidP="00D03B05">
            <w:pPr>
              <w:pStyle w:val="TableText"/>
              <w:spacing w:beforeLines="60" w:before="144" w:after="0"/>
              <w:rPr>
                <w:rFonts w:cs="Arial"/>
                <w:b/>
                <w:lang w:val="en-NZ"/>
              </w:rPr>
            </w:pPr>
            <w:r w:rsidRPr="0003653F">
              <w:rPr>
                <w:rFonts w:cs="Arial"/>
                <w:b/>
                <w:lang w:val="en-NZ"/>
              </w:rPr>
              <w:t>Exemption</w:t>
            </w:r>
          </w:p>
        </w:tc>
        <w:tc>
          <w:tcPr>
            <w:tcW w:w="7337" w:type="dxa"/>
            <w:shd w:val="clear" w:color="auto" w:fill="auto"/>
          </w:tcPr>
          <w:p w14:paraId="7BF9C8D1" w14:textId="4FB00F8D" w:rsidR="001E6FC2" w:rsidRPr="0003653F" w:rsidRDefault="00D72A1B" w:rsidP="004A4158">
            <w:pPr>
              <w:pStyle w:val="TableText"/>
              <w:spacing w:beforeLines="60" w:before="144" w:after="0"/>
              <w:ind w:right="240"/>
              <w:rPr>
                <w:rFonts w:cs="Arial"/>
                <w:iCs/>
                <w:color w:val="000000"/>
                <w:lang w:val="en-NZ"/>
              </w:rPr>
            </w:pPr>
            <w:r w:rsidRPr="0003653F">
              <w:rPr>
                <w:rFonts w:cs="Arial"/>
                <w:iCs/>
                <w:color w:val="000000"/>
                <w:lang w:val="en-NZ"/>
              </w:rPr>
              <w:t xml:space="preserve">Either recognition (but not a cross credit) for a substantially equivalent prescribed course for which the </w:t>
            </w:r>
            <w:r w:rsidR="00893B2F">
              <w:rPr>
                <w:rFonts w:cs="Arial"/>
                <w:iCs/>
                <w:color w:val="000000"/>
                <w:lang w:val="en-NZ"/>
              </w:rPr>
              <w:t>learner</w:t>
            </w:r>
            <w:r w:rsidRPr="0003653F">
              <w:rPr>
                <w:rFonts w:cs="Arial"/>
                <w:iCs/>
                <w:color w:val="000000"/>
                <w:lang w:val="en-NZ"/>
              </w:rPr>
              <w:t xml:space="preserve"> must then choose an alternative course of study; or is given for a </w:t>
            </w:r>
            <w:proofErr w:type="gramStart"/>
            <w:r w:rsidRPr="0003653F">
              <w:rPr>
                <w:rFonts w:cs="Arial"/>
                <w:iCs/>
                <w:color w:val="000000"/>
                <w:lang w:val="en-NZ"/>
              </w:rPr>
              <w:t>lower level</w:t>
            </w:r>
            <w:proofErr w:type="gramEnd"/>
            <w:r w:rsidRPr="0003653F">
              <w:rPr>
                <w:rFonts w:cs="Arial"/>
                <w:iCs/>
                <w:color w:val="000000"/>
                <w:lang w:val="en-NZ"/>
              </w:rPr>
              <w:t xml:space="preserve"> </w:t>
            </w:r>
            <w:r w:rsidR="002943AB" w:rsidRPr="0003653F">
              <w:rPr>
                <w:rFonts w:cs="Arial"/>
                <w:iCs/>
                <w:color w:val="000000"/>
                <w:lang w:val="en-NZ"/>
              </w:rPr>
              <w:t xml:space="preserve">New Zealand Qualifications Framework </w:t>
            </w:r>
            <w:r w:rsidRPr="0003653F">
              <w:rPr>
                <w:rFonts w:cs="Arial"/>
                <w:iCs/>
                <w:color w:val="000000"/>
                <w:lang w:val="en-NZ"/>
              </w:rPr>
              <w:t xml:space="preserve">unit standard when a similar higher level </w:t>
            </w:r>
            <w:r w:rsidR="002943AB" w:rsidRPr="0003653F">
              <w:rPr>
                <w:rFonts w:cs="Arial"/>
                <w:iCs/>
                <w:color w:val="000000"/>
                <w:lang w:val="en-NZ"/>
              </w:rPr>
              <w:t>New Zealand Qualifications Framework</w:t>
            </w:r>
            <w:r w:rsidRPr="0003653F">
              <w:rPr>
                <w:rFonts w:cs="Arial"/>
                <w:iCs/>
                <w:color w:val="000000"/>
                <w:lang w:val="en-NZ"/>
              </w:rPr>
              <w:t xml:space="preserve"> unit standard has been successfully achieved.</w:t>
            </w:r>
          </w:p>
        </w:tc>
      </w:tr>
      <w:tr w:rsidR="00457B6C" w:rsidRPr="0003653F" w14:paraId="7FA6D72C" w14:textId="77777777" w:rsidTr="0008034F">
        <w:tc>
          <w:tcPr>
            <w:tcW w:w="2268" w:type="dxa"/>
            <w:shd w:val="clear" w:color="auto" w:fill="auto"/>
          </w:tcPr>
          <w:p w14:paraId="06E3ECBE" w14:textId="77777777" w:rsidR="00457B6C" w:rsidRPr="0003653F" w:rsidRDefault="00D72A1B" w:rsidP="00D03B05">
            <w:pPr>
              <w:pStyle w:val="TableText"/>
              <w:spacing w:beforeLines="60" w:before="144" w:after="0"/>
              <w:rPr>
                <w:rFonts w:cs="Arial"/>
                <w:b/>
                <w:lang w:val="en-NZ"/>
              </w:rPr>
            </w:pPr>
            <w:r w:rsidRPr="0003653F">
              <w:rPr>
                <w:rFonts w:cs="Arial"/>
                <w:b/>
                <w:lang w:val="en-NZ"/>
              </w:rPr>
              <w:t>Experience</w:t>
            </w:r>
          </w:p>
        </w:tc>
        <w:tc>
          <w:tcPr>
            <w:tcW w:w="7337" w:type="dxa"/>
            <w:shd w:val="clear" w:color="auto" w:fill="auto"/>
          </w:tcPr>
          <w:p w14:paraId="555D843C" w14:textId="1E90CC11" w:rsidR="00457B6C" w:rsidRPr="0003653F" w:rsidRDefault="00D72A1B" w:rsidP="004A4158">
            <w:pPr>
              <w:pStyle w:val="TableText"/>
              <w:spacing w:beforeLines="60" w:before="144" w:after="0"/>
              <w:rPr>
                <w:rFonts w:cs="Arial"/>
                <w:lang w:val="en-NZ"/>
              </w:rPr>
            </w:pPr>
            <w:r w:rsidRPr="0003653F">
              <w:rPr>
                <w:rFonts w:cs="Arial"/>
                <w:iCs/>
                <w:color w:val="000000"/>
                <w:lang w:val="en-NZ"/>
              </w:rPr>
              <w:t>Learning acquired through life experience, work experience, or a combination of non-formal and formal learning.</w:t>
            </w:r>
          </w:p>
        </w:tc>
      </w:tr>
      <w:tr w:rsidR="0031045F" w:rsidRPr="0003653F" w14:paraId="7E10B298" w14:textId="77777777" w:rsidTr="0008034F">
        <w:tc>
          <w:tcPr>
            <w:tcW w:w="2268" w:type="dxa"/>
            <w:shd w:val="clear" w:color="auto" w:fill="auto"/>
          </w:tcPr>
          <w:p w14:paraId="3E99A9F9" w14:textId="77777777" w:rsidR="0031045F" w:rsidRPr="0003653F" w:rsidRDefault="00D72A1B" w:rsidP="00D03B05">
            <w:pPr>
              <w:pStyle w:val="TableText"/>
              <w:spacing w:beforeLines="60" w:before="144" w:after="0"/>
              <w:rPr>
                <w:rFonts w:cs="Arial"/>
                <w:b/>
                <w:lang w:val="en-NZ"/>
              </w:rPr>
            </w:pPr>
            <w:r w:rsidRPr="0003653F">
              <w:rPr>
                <w:rFonts w:cs="Arial"/>
                <w:b/>
                <w:lang w:val="en-NZ"/>
              </w:rPr>
              <w:t>Fees</w:t>
            </w:r>
          </w:p>
        </w:tc>
        <w:tc>
          <w:tcPr>
            <w:tcW w:w="7337" w:type="dxa"/>
            <w:shd w:val="clear" w:color="auto" w:fill="auto"/>
          </w:tcPr>
          <w:p w14:paraId="1AC7CD03" w14:textId="2DFDC817" w:rsidR="0031045F" w:rsidRPr="0003653F" w:rsidRDefault="001F7FB7" w:rsidP="004A4158">
            <w:pPr>
              <w:pStyle w:val="TableText"/>
              <w:spacing w:beforeLines="60" w:before="144" w:after="0"/>
              <w:rPr>
                <w:rFonts w:cs="Arial"/>
                <w:lang w:val="en-NZ"/>
              </w:rPr>
            </w:pPr>
            <w:r w:rsidRPr="0003653F">
              <w:rPr>
                <w:rFonts w:cs="Arial"/>
                <w:lang w:val="en-NZ"/>
              </w:rPr>
              <w:t xml:space="preserve">Fees charged by </w:t>
            </w:r>
            <w:r w:rsidR="00893B2F">
              <w:rPr>
                <w:rFonts w:cs="Arial"/>
                <w:lang w:val="en-NZ"/>
              </w:rPr>
              <w:t>ATNZ</w:t>
            </w:r>
            <w:r w:rsidR="00BE01DF" w:rsidRPr="0003653F">
              <w:rPr>
                <w:rFonts w:cs="Arial"/>
                <w:lang w:val="en-NZ"/>
              </w:rPr>
              <w:t>,</w:t>
            </w:r>
            <w:r w:rsidRPr="0003653F">
              <w:rPr>
                <w:rFonts w:cs="Arial"/>
                <w:lang w:val="en-NZ"/>
              </w:rPr>
              <w:t xml:space="preserve"> inclu</w:t>
            </w:r>
            <w:r w:rsidR="00CE6A63">
              <w:rPr>
                <w:rFonts w:cs="Arial"/>
                <w:lang w:val="en-NZ"/>
              </w:rPr>
              <w:t xml:space="preserve">ding but not limited </w:t>
            </w:r>
            <w:r w:rsidRPr="0003653F">
              <w:rPr>
                <w:rFonts w:cs="Arial"/>
                <w:lang w:val="en-NZ"/>
              </w:rPr>
              <w:t>to tuition</w:t>
            </w:r>
            <w:r w:rsidR="00D72A1B" w:rsidRPr="0003653F">
              <w:rPr>
                <w:rFonts w:cs="Arial"/>
                <w:lang w:val="en-NZ"/>
              </w:rPr>
              <w:t>, non-tuition</w:t>
            </w:r>
            <w:r w:rsidRPr="0003653F">
              <w:rPr>
                <w:rFonts w:cs="Arial"/>
                <w:lang w:val="en-NZ"/>
              </w:rPr>
              <w:t>,</w:t>
            </w:r>
            <w:r w:rsidR="00D72A1B" w:rsidRPr="0003653F">
              <w:rPr>
                <w:rFonts w:cs="Arial"/>
                <w:lang w:val="en-NZ"/>
              </w:rPr>
              <w:t xml:space="preserve"> </w:t>
            </w:r>
            <w:r w:rsidR="00893B2F">
              <w:rPr>
                <w:rFonts w:cs="Arial"/>
                <w:lang w:val="en-NZ"/>
              </w:rPr>
              <w:t>learner</w:t>
            </w:r>
            <w:r w:rsidR="00D72A1B" w:rsidRPr="0003653F">
              <w:rPr>
                <w:rFonts w:cs="Arial"/>
                <w:lang w:val="en-NZ"/>
              </w:rPr>
              <w:t xml:space="preserve"> services fees</w:t>
            </w:r>
            <w:r w:rsidR="004D5797" w:rsidRPr="0003653F">
              <w:rPr>
                <w:rFonts w:cs="Arial"/>
                <w:lang w:val="en-NZ"/>
              </w:rPr>
              <w:t>, administration and non-</w:t>
            </w:r>
            <w:r w:rsidR="00BE01DF" w:rsidRPr="0003653F">
              <w:rPr>
                <w:rFonts w:cs="Arial"/>
                <w:lang w:val="en-NZ"/>
              </w:rPr>
              <w:t>course specific fees, and fees charged on behalf of a third</w:t>
            </w:r>
            <w:r w:rsidR="00C07B4D" w:rsidRPr="0003653F">
              <w:rPr>
                <w:rFonts w:cs="Arial"/>
                <w:lang w:val="en-NZ"/>
              </w:rPr>
              <w:t>-</w:t>
            </w:r>
            <w:r w:rsidR="00BE01DF" w:rsidRPr="0003653F">
              <w:rPr>
                <w:rFonts w:cs="Arial"/>
                <w:lang w:val="en-NZ"/>
              </w:rPr>
              <w:t>party</w:t>
            </w:r>
            <w:r w:rsidR="00D72A1B" w:rsidRPr="0003653F">
              <w:rPr>
                <w:rFonts w:cs="Arial"/>
                <w:lang w:val="en-NZ"/>
              </w:rPr>
              <w:t>.</w:t>
            </w:r>
          </w:p>
        </w:tc>
      </w:tr>
      <w:tr w:rsidR="00457B6C" w:rsidRPr="0003653F" w14:paraId="224F9ACE" w14:textId="77777777" w:rsidTr="0008034F">
        <w:tc>
          <w:tcPr>
            <w:tcW w:w="2268" w:type="dxa"/>
            <w:shd w:val="clear" w:color="auto" w:fill="auto"/>
          </w:tcPr>
          <w:p w14:paraId="61A06E7F" w14:textId="77777777" w:rsidR="00457B6C" w:rsidRPr="0003653F" w:rsidRDefault="00D72A1B" w:rsidP="00D03B05">
            <w:pPr>
              <w:pStyle w:val="TableText"/>
              <w:spacing w:beforeLines="60" w:before="144" w:after="0"/>
              <w:rPr>
                <w:rFonts w:cs="Arial"/>
                <w:b/>
                <w:lang w:val="en-NZ"/>
              </w:rPr>
            </w:pPr>
            <w:r w:rsidRPr="0003653F">
              <w:rPr>
                <w:rFonts w:cs="Arial"/>
                <w:b/>
                <w:lang w:val="en-NZ"/>
              </w:rPr>
              <w:t xml:space="preserve">Formal </w:t>
            </w:r>
            <w:r w:rsidR="00E53601" w:rsidRPr="0003653F">
              <w:rPr>
                <w:rFonts w:cs="Arial"/>
                <w:b/>
                <w:lang w:val="en-NZ"/>
              </w:rPr>
              <w:t>learning</w:t>
            </w:r>
          </w:p>
        </w:tc>
        <w:tc>
          <w:tcPr>
            <w:tcW w:w="7337" w:type="dxa"/>
            <w:shd w:val="clear" w:color="auto" w:fill="auto"/>
          </w:tcPr>
          <w:p w14:paraId="5F6434EF" w14:textId="1F6BD777" w:rsidR="005A4A20" w:rsidRPr="0003653F" w:rsidRDefault="00D72A1B" w:rsidP="004A4158">
            <w:pPr>
              <w:pStyle w:val="TableText"/>
              <w:spacing w:beforeLines="40" w:before="96" w:after="0"/>
              <w:ind w:left="34"/>
              <w:rPr>
                <w:rFonts w:cs="Arial"/>
                <w:lang w:val="en-NZ"/>
              </w:rPr>
            </w:pPr>
            <w:r w:rsidRPr="0003653F">
              <w:rPr>
                <w:rFonts w:cs="Arial"/>
                <w:lang w:val="en-NZ"/>
              </w:rPr>
              <w:t xml:space="preserve">Study undertaken either </w:t>
            </w:r>
            <w:r w:rsidR="00CD4746" w:rsidRPr="0003653F">
              <w:rPr>
                <w:rFonts w:cs="Arial"/>
                <w:lang w:val="en-NZ"/>
              </w:rPr>
              <w:t>at</w:t>
            </w:r>
            <w:r w:rsidRPr="0003653F">
              <w:rPr>
                <w:rFonts w:cs="Arial"/>
                <w:lang w:val="en-NZ"/>
              </w:rPr>
              <w:t xml:space="preserve"> </w:t>
            </w:r>
            <w:r w:rsidR="00893B2F">
              <w:rPr>
                <w:rFonts w:cs="Arial"/>
                <w:lang w:val="en-NZ"/>
              </w:rPr>
              <w:t>ATNZ</w:t>
            </w:r>
            <w:r w:rsidRPr="0003653F">
              <w:rPr>
                <w:rFonts w:cs="Arial"/>
                <w:lang w:val="en-NZ"/>
              </w:rPr>
              <w:t xml:space="preserve"> or another </w:t>
            </w:r>
            <w:r w:rsidR="001D7849" w:rsidRPr="0003653F">
              <w:rPr>
                <w:rFonts w:cs="Arial"/>
                <w:lang w:val="en-NZ"/>
              </w:rPr>
              <w:t xml:space="preserve">approved educational </w:t>
            </w:r>
            <w:r w:rsidRPr="0003653F">
              <w:rPr>
                <w:rFonts w:cs="Arial"/>
                <w:lang w:val="en-NZ"/>
              </w:rPr>
              <w:t>institution.</w:t>
            </w:r>
          </w:p>
        </w:tc>
      </w:tr>
      <w:tr w:rsidR="002F5440" w:rsidRPr="0003653F" w14:paraId="22F5AFDF" w14:textId="77777777" w:rsidTr="0008034F">
        <w:tc>
          <w:tcPr>
            <w:tcW w:w="2268" w:type="dxa"/>
            <w:shd w:val="clear" w:color="auto" w:fill="auto"/>
          </w:tcPr>
          <w:p w14:paraId="62F28C7A" w14:textId="77777777" w:rsidR="002F5440" w:rsidRPr="0003653F" w:rsidRDefault="002F5440" w:rsidP="00D03B05">
            <w:pPr>
              <w:pStyle w:val="TableText"/>
              <w:spacing w:beforeLines="60" w:before="144" w:after="0"/>
              <w:rPr>
                <w:rFonts w:cs="Arial"/>
                <w:b/>
                <w:lang w:val="en-NZ"/>
              </w:rPr>
            </w:pPr>
            <w:r w:rsidRPr="0003653F">
              <w:rPr>
                <w:rFonts w:cs="Arial"/>
                <w:b/>
                <w:lang w:val="en-NZ"/>
              </w:rPr>
              <w:lastRenderedPageBreak/>
              <w:t>Formative assessment</w:t>
            </w:r>
          </w:p>
        </w:tc>
        <w:tc>
          <w:tcPr>
            <w:tcW w:w="7337" w:type="dxa"/>
            <w:shd w:val="clear" w:color="auto" w:fill="auto"/>
          </w:tcPr>
          <w:p w14:paraId="4D9895C5" w14:textId="10ACF4AA" w:rsidR="002F5440" w:rsidRPr="0003653F" w:rsidRDefault="002F5440" w:rsidP="002F5440">
            <w:pPr>
              <w:pStyle w:val="TableText"/>
              <w:spacing w:beforeLines="40" w:before="96"/>
              <w:ind w:left="34"/>
              <w:rPr>
                <w:rFonts w:cs="Arial"/>
                <w:lang w:val="en-NZ"/>
              </w:rPr>
            </w:pPr>
            <w:r w:rsidRPr="0003653F">
              <w:rPr>
                <w:rFonts w:cs="Arial"/>
                <w:lang w:val="en-NZ"/>
              </w:rPr>
              <w:t xml:space="preserve">An assessment designed to contribute to a </w:t>
            </w:r>
            <w:r w:rsidR="00893B2F">
              <w:rPr>
                <w:rFonts w:cs="Arial"/>
                <w:lang w:val="en-NZ"/>
              </w:rPr>
              <w:t>learner</w:t>
            </w:r>
            <w:r w:rsidRPr="0003653F">
              <w:rPr>
                <w:rFonts w:cs="Arial"/>
                <w:lang w:val="en-NZ"/>
              </w:rPr>
              <w:t xml:space="preserve">’s awareness, ability, </w:t>
            </w:r>
            <w:proofErr w:type="gramStart"/>
            <w:r w:rsidRPr="0003653F">
              <w:rPr>
                <w:rFonts w:cs="Arial"/>
                <w:lang w:val="en-NZ"/>
              </w:rPr>
              <w:t>knowledge</w:t>
            </w:r>
            <w:proofErr w:type="gramEnd"/>
            <w:r w:rsidRPr="0003653F">
              <w:rPr>
                <w:rFonts w:cs="Arial"/>
                <w:lang w:val="en-NZ"/>
              </w:rPr>
              <w:t xml:space="preserve"> or competence. Formative assessment is intended to provide developmental feedback to the </w:t>
            </w:r>
            <w:r w:rsidR="00893B2F">
              <w:rPr>
                <w:rFonts w:cs="Arial"/>
                <w:lang w:val="en-NZ"/>
              </w:rPr>
              <w:t>learner</w:t>
            </w:r>
            <w:r w:rsidRPr="0003653F">
              <w:rPr>
                <w:rFonts w:cs="Arial"/>
                <w:lang w:val="en-NZ"/>
              </w:rPr>
              <w:t xml:space="preserve"> on their progress and enables academic staff to monitor </w:t>
            </w:r>
            <w:r w:rsidR="00893B2F">
              <w:rPr>
                <w:rFonts w:cs="Arial"/>
                <w:lang w:val="en-NZ"/>
              </w:rPr>
              <w:t>learner</w:t>
            </w:r>
            <w:r w:rsidRPr="0003653F">
              <w:rPr>
                <w:rFonts w:cs="Arial"/>
                <w:lang w:val="en-NZ"/>
              </w:rPr>
              <w:t xml:space="preserve"> learning and modify their teaching practice to address issues.</w:t>
            </w:r>
          </w:p>
          <w:p w14:paraId="000A373C" w14:textId="0176384B" w:rsidR="002F5440" w:rsidRPr="0003653F" w:rsidRDefault="002F5440" w:rsidP="004A4158">
            <w:pPr>
              <w:pStyle w:val="TableText"/>
              <w:spacing w:beforeLines="40" w:before="96"/>
              <w:ind w:left="34"/>
              <w:rPr>
                <w:rFonts w:cs="Arial"/>
              </w:rPr>
            </w:pPr>
            <w:r w:rsidRPr="0003653F">
              <w:rPr>
                <w:rFonts w:cs="Arial"/>
                <w:lang w:val="en-NZ"/>
              </w:rPr>
              <w:t xml:space="preserve">Formative assessment is not intended to contribute to a </w:t>
            </w:r>
            <w:r w:rsidR="00893B2F">
              <w:rPr>
                <w:rFonts w:cs="Arial"/>
                <w:lang w:val="en-NZ"/>
              </w:rPr>
              <w:t>learner</w:t>
            </w:r>
            <w:r w:rsidRPr="0003653F">
              <w:rPr>
                <w:rFonts w:cs="Arial"/>
                <w:lang w:val="en-NZ"/>
              </w:rPr>
              <w:t xml:space="preserve">’s academic grade. </w:t>
            </w:r>
          </w:p>
        </w:tc>
      </w:tr>
      <w:tr w:rsidR="00F36B71" w:rsidRPr="0003653F" w14:paraId="632DC7A8" w14:textId="77777777" w:rsidTr="0008034F">
        <w:tc>
          <w:tcPr>
            <w:tcW w:w="2268" w:type="dxa"/>
            <w:shd w:val="clear" w:color="auto" w:fill="auto"/>
          </w:tcPr>
          <w:p w14:paraId="4668C4E5" w14:textId="6B59DA11" w:rsidR="00F36B71" w:rsidRPr="0003653F" w:rsidRDefault="00D72A1B" w:rsidP="00D03B05">
            <w:pPr>
              <w:pStyle w:val="TableText"/>
              <w:spacing w:beforeLines="60" w:before="144" w:after="0"/>
              <w:rPr>
                <w:rFonts w:cs="Arial"/>
                <w:b/>
                <w:lang w:val="en-NZ"/>
              </w:rPr>
            </w:pPr>
            <w:r w:rsidRPr="0003653F">
              <w:rPr>
                <w:rFonts w:cs="Arial"/>
                <w:b/>
                <w:lang w:val="en-NZ"/>
              </w:rPr>
              <w:t xml:space="preserve">Full-time </w:t>
            </w:r>
            <w:r w:rsidR="00893B2F">
              <w:rPr>
                <w:rFonts w:cs="Arial"/>
                <w:b/>
                <w:lang w:val="en-NZ"/>
              </w:rPr>
              <w:t>learner</w:t>
            </w:r>
          </w:p>
        </w:tc>
        <w:tc>
          <w:tcPr>
            <w:tcW w:w="7337" w:type="dxa"/>
            <w:shd w:val="clear" w:color="auto" w:fill="auto"/>
          </w:tcPr>
          <w:p w14:paraId="599C7B29" w14:textId="4531980B" w:rsidR="00F36B71" w:rsidRPr="0003653F" w:rsidRDefault="00D72A1B" w:rsidP="004A4158">
            <w:pPr>
              <w:pStyle w:val="TableText"/>
              <w:spacing w:beforeLines="60" w:before="144" w:after="0"/>
              <w:rPr>
                <w:rFonts w:cs="Arial"/>
                <w:lang w:val="en-NZ"/>
              </w:rPr>
            </w:pPr>
            <w:r w:rsidRPr="0003653F">
              <w:rPr>
                <w:rFonts w:cs="Arial"/>
                <w:lang w:val="en-NZ"/>
              </w:rPr>
              <w:t xml:space="preserve">The Study Link definition of full-time </w:t>
            </w:r>
            <w:r w:rsidR="00893B2F">
              <w:rPr>
                <w:rFonts w:cs="Arial"/>
                <w:lang w:val="en-NZ"/>
              </w:rPr>
              <w:t>learner</w:t>
            </w:r>
            <w:r w:rsidRPr="0003653F">
              <w:rPr>
                <w:rFonts w:cs="Arial"/>
                <w:lang w:val="en-NZ"/>
              </w:rPr>
              <w:t xml:space="preserve"> shall apply.</w:t>
            </w:r>
          </w:p>
        </w:tc>
      </w:tr>
      <w:tr w:rsidR="0025112C" w:rsidRPr="0003653F" w14:paraId="3F452105" w14:textId="77777777" w:rsidTr="0008034F">
        <w:tc>
          <w:tcPr>
            <w:tcW w:w="2268" w:type="dxa"/>
            <w:shd w:val="clear" w:color="auto" w:fill="auto"/>
          </w:tcPr>
          <w:p w14:paraId="5480B3B8" w14:textId="77777777" w:rsidR="0025112C" w:rsidRPr="0003653F" w:rsidRDefault="00D72A1B" w:rsidP="00D03B05">
            <w:pPr>
              <w:pStyle w:val="TableText"/>
              <w:spacing w:beforeLines="60" w:before="144" w:after="0"/>
              <w:rPr>
                <w:rFonts w:cs="Arial"/>
                <w:b/>
                <w:lang w:val="en-NZ"/>
              </w:rPr>
            </w:pPr>
            <w:r w:rsidRPr="0003653F">
              <w:rPr>
                <w:rFonts w:cs="Arial"/>
                <w:b/>
                <w:lang w:val="en-NZ"/>
              </w:rPr>
              <w:t>Graduate</w:t>
            </w:r>
          </w:p>
        </w:tc>
        <w:tc>
          <w:tcPr>
            <w:tcW w:w="7337" w:type="dxa"/>
            <w:shd w:val="clear" w:color="auto" w:fill="auto"/>
          </w:tcPr>
          <w:p w14:paraId="65A9D45F" w14:textId="22571171" w:rsidR="0025112C" w:rsidRPr="0003653F" w:rsidRDefault="00D72A1B" w:rsidP="004A4158">
            <w:pPr>
              <w:pStyle w:val="TableText"/>
              <w:spacing w:beforeLines="60" w:before="144" w:after="0"/>
              <w:rPr>
                <w:rFonts w:cs="Arial"/>
                <w:lang w:val="en-NZ"/>
              </w:rPr>
            </w:pPr>
            <w:r w:rsidRPr="0003653F">
              <w:rPr>
                <w:rFonts w:cs="Arial"/>
                <w:lang w:val="en-NZ"/>
              </w:rPr>
              <w:t>A person who has had a</w:t>
            </w:r>
            <w:r w:rsidR="0094056C" w:rsidRPr="0003653F">
              <w:rPr>
                <w:rFonts w:cs="Arial"/>
                <w:lang w:val="en-NZ"/>
              </w:rPr>
              <w:t>n</w:t>
            </w:r>
            <w:r w:rsidRPr="0003653F">
              <w:rPr>
                <w:rFonts w:cs="Arial"/>
                <w:lang w:val="en-NZ"/>
              </w:rPr>
              <w:t xml:space="preserve"> </w:t>
            </w:r>
            <w:r w:rsidR="002C1560" w:rsidRPr="0003653F">
              <w:rPr>
                <w:rFonts w:cs="Arial"/>
                <w:lang w:val="en-NZ"/>
              </w:rPr>
              <w:t>a</w:t>
            </w:r>
            <w:r w:rsidRPr="0003653F">
              <w:rPr>
                <w:rFonts w:cs="Arial"/>
                <w:lang w:val="en-NZ"/>
              </w:rPr>
              <w:t>ward granted.</w:t>
            </w:r>
          </w:p>
        </w:tc>
      </w:tr>
      <w:tr w:rsidR="00245F14" w:rsidRPr="0003653F" w14:paraId="24D2F168" w14:textId="77777777" w:rsidTr="0008034F">
        <w:tc>
          <w:tcPr>
            <w:tcW w:w="2268" w:type="dxa"/>
            <w:shd w:val="clear" w:color="auto" w:fill="auto"/>
          </w:tcPr>
          <w:p w14:paraId="5A1094DB" w14:textId="77777777" w:rsidR="00245F14" w:rsidRPr="0003653F" w:rsidRDefault="00245F14" w:rsidP="00D03B05">
            <w:pPr>
              <w:pStyle w:val="TableText"/>
              <w:spacing w:beforeLines="60" w:before="144" w:after="0"/>
              <w:rPr>
                <w:rFonts w:cs="Arial"/>
                <w:b/>
                <w:lang w:val="en-NZ"/>
              </w:rPr>
            </w:pPr>
            <w:r>
              <w:rPr>
                <w:rFonts w:cs="Arial"/>
                <w:b/>
                <w:lang w:val="en-NZ"/>
              </w:rPr>
              <w:t>Gross Programme Length</w:t>
            </w:r>
          </w:p>
        </w:tc>
        <w:tc>
          <w:tcPr>
            <w:tcW w:w="7337" w:type="dxa"/>
            <w:shd w:val="clear" w:color="auto" w:fill="auto"/>
          </w:tcPr>
          <w:p w14:paraId="492B7FCF" w14:textId="77777777" w:rsidR="00245F14" w:rsidRPr="0003653F" w:rsidRDefault="00245F14" w:rsidP="00D03B05">
            <w:pPr>
              <w:pStyle w:val="TableText"/>
              <w:spacing w:beforeLines="60" w:before="144" w:after="0"/>
              <w:rPr>
                <w:rFonts w:cs="Arial"/>
                <w:lang w:val="en-NZ"/>
              </w:rPr>
            </w:pPr>
            <w:r>
              <w:rPr>
                <w:rFonts w:cs="Arial"/>
                <w:lang w:val="en-NZ"/>
              </w:rPr>
              <w:t xml:space="preserve">The length of a programme calculated in weeks from the start date of the first course until the last date of the last course. This period includes any term breaks or holidays. </w:t>
            </w:r>
          </w:p>
        </w:tc>
      </w:tr>
      <w:tr w:rsidR="00D731D0" w:rsidRPr="0003653F" w14:paraId="0D303AF3" w14:textId="77777777" w:rsidTr="0008034F">
        <w:tc>
          <w:tcPr>
            <w:tcW w:w="2268" w:type="dxa"/>
            <w:shd w:val="clear" w:color="auto" w:fill="auto"/>
          </w:tcPr>
          <w:p w14:paraId="4B83E804" w14:textId="77777777" w:rsidR="00D731D0" w:rsidRPr="0003653F" w:rsidRDefault="00D72A1B" w:rsidP="00D03B05">
            <w:pPr>
              <w:pStyle w:val="TableText"/>
              <w:spacing w:beforeLines="60" w:before="144" w:after="0"/>
              <w:rPr>
                <w:rFonts w:cs="Arial"/>
                <w:b/>
                <w:lang w:val="en-NZ"/>
              </w:rPr>
            </w:pPr>
            <w:r w:rsidRPr="0003653F">
              <w:rPr>
                <w:rFonts w:cs="Arial"/>
                <w:b/>
                <w:lang w:val="en-NZ"/>
              </w:rPr>
              <w:t>Harassment</w:t>
            </w:r>
          </w:p>
        </w:tc>
        <w:tc>
          <w:tcPr>
            <w:tcW w:w="7337" w:type="dxa"/>
            <w:shd w:val="clear" w:color="auto" w:fill="auto"/>
          </w:tcPr>
          <w:p w14:paraId="31F488C8" w14:textId="1236AFC3" w:rsidR="00D731D0" w:rsidRPr="0003653F" w:rsidRDefault="00D72A1B" w:rsidP="004A4158">
            <w:pPr>
              <w:pStyle w:val="TableText"/>
              <w:spacing w:beforeLines="60" w:before="144" w:after="0"/>
              <w:rPr>
                <w:rFonts w:cs="Arial"/>
                <w:iCs/>
                <w:color w:val="000000"/>
                <w:lang w:val="en-NZ"/>
              </w:rPr>
            </w:pPr>
            <w:r w:rsidRPr="0003653F">
              <w:rPr>
                <w:rFonts w:cs="Arial"/>
                <w:lang w:val="en-NZ"/>
              </w:rPr>
              <w:t xml:space="preserve">A physical or verbal act, which may include the use of written material or visual behaviour, that is unwelcome, </w:t>
            </w:r>
            <w:proofErr w:type="gramStart"/>
            <w:r w:rsidRPr="0003653F">
              <w:rPr>
                <w:rFonts w:cs="Arial"/>
                <w:lang w:val="en-NZ"/>
              </w:rPr>
              <w:t>offensive</w:t>
            </w:r>
            <w:proofErr w:type="gramEnd"/>
            <w:r w:rsidRPr="0003653F">
              <w:rPr>
                <w:rFonts w:cs="Arial"/>
                <w:lang w:val="en-NZ"/>
              </w:rPr>
              <w:t xml:space="preserve"> or hurtful, or expresses hostility against or ridicules.  Harassment involves an act that is repeated or significant to the extent that it has a detrimental effect on a person’s enjoyment, performance or opportunities in work or study.  It may involve the threat of negative or promise of positive influence on a situation or achievement in work or study.  It may involve bullying </w:t>
            </w:r>
            <w:proofErr w:type="gramStart"/>
            <w:r w:rsidRPr="0003653F">
              <w:rPr>
                <w:rFonts w:cs="Arial"/>
                <w:lang w:val="en-NZ"/>
              </w:rPr>
              <w:t>through the use of</w:t>
            </w:r>
            <w:proofErr w:type="gramEnd"/>
            <w:r w:rsidRPr="0003653F">
              <w:rPr>
                <w:rFonts w:cs="Arial"/>
                <w:lang w:val="en-NZ"/>
              </w:rPr>
              <w:t xml:space="preserve"> power to humiliate, intimidate or threaten.</w:t>
            </w:r>
          </w:p>
        </w:tc>
      </w:tr>
      <w:tr w:rsidR="00ED5E8F" w:rsidRPr="0003653F" w14:paraId="6B623598" w14:textId="77777777" w:rsidTr="0008034F">
        <w:tc>
          <w:tcPr>
            <w:tcW w:w="2268" w:type="dxa"/>
            <w:shd w:val="clear" w:color="auto" w:fill="auto"/>
          </w:tcPr>
          <w:p w14:paraId="0149B8F0" w14:textId="2580C715" w:rsidR="002C1560" w:rsidRPr="0003653F" w:rsidRDefault="00ED5E8F" w:rsidP="004A4158">
            <w:pPr>
              <w:pStyle w:val="TableText"/>
              <w:spacing w:beforeLines="60" w:before="144" w:after="0"/>
              <w:rPr>
                <w:rFonts w:cs="Arial"/>
                <w:b/>
                <w:lang w:val="en-NZ"/>
              </w:rPr>
            </w:pPr>
            <w:r w:rsidRPr="0003653F">
              <w:rPr>
                <w:rFonts w:cs="Arial"/>
                <w:b/>
                <w:lang w:val="en-NZ"/>
              </w:rPr>
              <w:t xml:space="preserve">Information and Communication </w:t>
            </w:r>
            <w:r w:rsidR="00F64FCE" w:rsidRPr="0003653F">
              <w:rPr>
                <w:rFonts w:cs="Arial"/>
                <w:b/>
                <w:lang w:val="en-NZ"/>
              </w:rPr>
              <w:t xml:space="preserve">Technology </w:t>
            </w:r>
            <w:r w:rsidRPr="0003653F">
              <w:rPr>
                <w:rFonts w:cs="Arial"/>
                <w:b/>
                <w:lang w:val="en-NZ"/>
              </w:rPr>
              <w:t>Systems (ICTs)</w:t>
            </w:r>
          </w:p>
        </w:tc>
        <w:tc>
          <w:tcPr>
            <w:tcW w:w="7337" w:type="dxa"/>
            <w:shd w:val="clear" w:color="auto" w:fill="auto"/>
          </w:tcPr>
          <w:p w14:paraId="0448794D" w14:textId="2F4249B6" w:rsidR="00ED5E8F" w:rsidRPr="0003653F" w:rsidRDefault="00893B2F" w:rsidP="00947805">
            <w:pPr>
              <w:pStyle w:val="TableText"/>
              <w:spacing w:beforeLines="60" w:before="144" w:after="0"/>
              <w:rPr>
                <w:rFonts w:cs="Arial"/>
                <w:lang w:val="en-NZ"/>
              </w:rPr>
            </w:pPr>
            <w:r>
              <w:rPr>
                <w:rFonts w:cs="Arial"/>
                <w:lang w:val="en-NZ"/>
              </w:rPr>
              <w:t>ATNZ</w:t>
            </w:r>
            <w:r w:rsidR="00947805" w:rsidRPr="0003653F">
              <w:rPr>
                <w:rFonts w:cs="Arial"/>
                <w:lang w:val="en-NZ"/>
              </w:rPr>
              <w:t xml:space="preserve"> </w:t>
            </w:r>
            <w:hyperlink r:id="rId18" w:tooltip="Telecommunications" w:history="1">
              <w:r w:rsidR="00947805" w:rsidRPr="0003653F">
                <w:rPr>
                  <w:rFonts w:cs="Arial"/>
                  <w:lang w:val="en-NZ"/>
                </w:rPr>
                <w:t>telecommunications</w:t>
              </w:r>
            </w:hyperlink>
            <w:r w:rsidR="00947805" w:rsidRPr="0003653F">
              <w:rPr>
                <w:rFonts w:cs="Arial"/>
                <w:lang w:val="en-NZ"/>
              </w:rPr>
              <w:t>, computers systems, and audio-visual systems</w:t>
            </w:r>
            <w:r w:rsidR="003A2612" w:rsidRPr="0003653F">
              <w:rPr>
                <w:rFonts w:cs="Arial"/>
                <w:lang w:val="en-NZ"/>
              </w:rPr>
              <w:t>.</w:t>
            </w:r>
          </w:p>
        </w:tc>
      </w:tr>
      <w:tr w:rsidR="00E9120B" w:rsidRPr="0003653F" w14:paraId="7E54E190" w14:textId="77777777" w:rsidTr="0008034F">
        <w:tc>
          <w:tcPr>
            <w:tcW w:w="2268" w:type="dxa"/>
            <w:tcBorders>
              <w:top w:val="nil"/>
            </w:tcBorders>
            <w:shd w:val="clear" w:color="auto" w:fill="auto"/>
          </w:tcPr>
          <w:p w14:paraId="31AEFD84" w14:textId="77777777" w:rsidR="00E9120B" w:rsidRPr="0003653F" w:rsidRDefault="00D72A1B" w:rsidP="00D03B05">
            <w:pPr>
              <w:pStyle w:val="TableText"/>
              <w:spacing w:beforeLines="60" w:before="144" w:after="0"/>
              <w:rPr>
                <w:rFonts w:cs="Arial"/>
                <w:b/>
                <w:lang w:val="en-NZ"/>
              </w:rPr>
            </w:pPr>
            <w:r w:rsidRPr="0003653F">
              <w:rPr>
                <w:rFonts w:cs="Arial"/>
                <w:b/>
                <w:lang w:val="en-NZ"/>
              </w:rPr>
              <w:t xml:space="preserve">Intellectual </w:t>
            </w:r>
            <w:r w:rsidR="00E53601" w:rsidRPr="0003653F">
              <w:rPr>
                <w:rFonts w:cs="Arial"/>
                <w:b/>
                <w:lang w:val="en-NZ"/>
              </w:rPr>
              <w:t>property</w:t>
            </w:r>
          </w:p>
        </w:tc>
        <w:tc>
          <w:tcPr>
            <w:tcW w:w="7337" w:type="dxa"/>
            <w:tcBorders>
              <w:top w:val="nil"/>
            </w:tcBorders>
            <w:shd w:val="clear" w:color="auto" w:fill="auto"/>
          </w:tcPr>
          <w:p w14:paraId="21407DC2" w14:textId="77777777" w:rsidR="00E9120B" w:rsidRPr="0003653F" w:rsidRDefault="00D72A1B" w:rsidP="002C1560">
            <w:pPr>
              <w:pStyle w:val="TableText"/>
              <w:spacing w:beforeLines="60" w:before="144" w:after="0"/>
              <w:rPr>
                <w:rFonts w:cs="Arial"/>
                <w:iCs/>
                <w:color w:val="000000"/>
                <w:lang w:val="en-NZ"/>
              </w:rPr>
            </w:pPr>
            <w:r w:rsidRPr="0003653F">
              <w:rPr>
                <w:rFonts w:cs="Arial"/>
                <w:iCs/>
                <w:color w:val="000000"/>
                <w:lang w:val="en-NZ"/>
              </w:rPr>
              <w:t xml:space="preserve">Proprietary rights concerning all original work governed by the Copyright Act 1994, the Patents Act </w:t>
            </w:r>
            <w:r w:rsidR="00D9532F" w:rsidRPr="0003653F">
              <w:rPr>
                <w:rFonts w:cs="Arial"/>
                <w:iCs/>
                <w:color w:val="000000"/>
                <w:lang w:val="en-NZ"/>
              </w:rPr>
              <w:t>2013</w:t>
            </w:r>
            <w:r w:rsidRPr="0003653F">
              <w:rPr>
                <w:rFonts w:cs="Arial"/>
                <w:iCs/>
                <w:color w:val="000000"/>
                <w:lang w:val="en-NZ"/>
              </w:rPr>
              <w:t xml:space="preserve">, the Designs Act 1953, the </w:t>
            </w:r>
            <w:proofErr w:type="gramStart"/>
            <w:r w:rsidRPr="0003653F">
              <w:rPr>
                <w:rFonts w:cs="Arial"/>
                <w:iCs/>
                <w:color w:val="000000"/>
                <w:lang w:val="en-NZ"/>
              </w:rPr>
              <w:t>Trade Marks</w:t>
            </w:r>
            <w:proofErr w:type="gramEnd"/>
            <w:r w:rsidRPr="0003653F">
              <w:rPr>
                <w:rFonts w:cs="Arial"/>
                <w:iCs/>
                <w:color w:val="000000"/>
                <w:lang w:val="en-NZ"/>
              </w:rPr>
              <w:t xml:space="preserve"> Act 2002, the Layout Designs Act 1994, the Plant Varieties Act 1987 any amendments to these or subsequent acts and any other intellectual property law.  It includes, but is not</w:t>
            </w:r>
            <w:r w:rsidR="002A3F16">
              <w:rPr>
                <w:rFonts w:cs="Arial"/>
                <w:iCs/>
                <w:color w:val="000000"/>
                <w:lang w:val="en-NZ"/>
              </w:rPr>
              <w:t xml:space="preserve"> </w:t>
            </w:r>
            <w:r w:rsidR="00A07AF0" w:rsidRPr="0003653F">
              <w:rPr>
                <w:rFonts w:cs="Arial"/>
                <w:iCs/>
                <w:color w:val="000000"/>
                <w:lang w:val="en-NZ"/>
              </w:rPr>
              <w:t>limited</w:t>
            </w:r>
            <w:r w:rsidRPr="0003653F">
              <w:rPr>
                <w:rFonts w:cs="Arial"/>
                <w:iCs/>
                <w:color w:val="000000"/>
                <w:lang w:val="en-NZ"/>
              </w:rPr>
              <w:t xml:space="preserve"> to:</w:t>
            </w:r>
          </w:p>
          <w:p w14:paraId="422535EC" w14:textId="77777777" w:rsidR="00736967" w:rsidRPr="0003653F" w:rsidRDefault="00D72A1B" w:rsidP="00566D87">
            <w:pPr>
              <w:pStyle w:val="TableBullet1"/>
              <w:numPr>
                <w:ilvl w:val="0"/>
                <w:numId w:val="25"/>
              </w:numPr>
              <w:spacing w:before="0"/>
              <w:rPr>
                <w:rFonts w:cs="Arial"/>
                <w:iCs/>
                <w:color w:val="000000"/>
                <w:lang w:val="en-NZ"/>
              </w:rPr>
            </w:pPr>
            <w:r w:rsidRPr="0003653F">
              <w:rPr>
                <w:rFonts w:cs="Arial"/>
                <w:lang w:val="en-NZ"/>
              </w:rPr>
              <w:t xml:space="preserve">Course </w:t>
            </w:r>
            <w:proofErr w:type="gramStart"/>
            <w:r w:rsidRPr="0003653F">
              <w:rPr>
                <w:rFonts w:cs="Arial"/>
                <w:lang w:val="en-NZ"/>
              </w:rPr>
              <w:t>materials;</w:t>
            </w:r>
            <w:proofErr w:type="gramEnd"/>
          </w:p>
          <w:p w14:paraId="28926C49" w14:textId="77777777" w:rsidR="00736967" w:rsidRPr="0003653F" w:rsidRDefault="00D72A1B" w:rsidP="00566D87">
            <w:pPr>
              <w:pStyle w:val="TableBullet1"/>
              <w:numPr>
                <w:ilvl w:val="0"/>
                <w:numId w:val="25"/>
              </w:numPr>
              <w:spacing w:before="0"/>
              <w:rPr>
                <w:rFonts w:cs="Arial"/>
                <w:iCs/>
                <w:color w:val="000000"/>
                <w:lang w:val="en-NZ"/>
              </w:rPr>
            </w:pPr>
            <w:r w:rsidRPr="0003653F">
              <w:rPr>
                <w:rFonts w:cs="Arial"/>
                <w:iCs/>
                <w:color w:val="000000"/>
                <w:lang w:val="en-NZ"/>
              </w:rPr>
              <w:t xml:space="preserve">Research data and </w:t>
            </w:r>
            <w:proofErr w:type="gramStart"/>
            <w:r w:rsidRPr="0003653F">
              <w:rPr>
                <w:rFonts w:cs="Arial"/>
                <w:iCs/>
                <w:color w:val="000000"/>
                <w:lang w:val="en-NZ"/>
              </w:rPr>
              <w:t>outputs;</w:t>
            </w:r>
            <w:proofErr w:type="gramEnd"/>
          </w:p>
          <w:p w14:paraId="14510649" w14:textId="77777777" w:rsidR="00736967" w:rsidRPr="0003653F" w:rsidRDefault="00D72A1B" w:rsidP="00566D87">
            <w:pPr>
              <w:pStyle w:val="TableBullet1"/>
              <w:numPr>
                <w:ilvl w:val="0"/>
                <w:numId w:val="25"/>
              </w:numPr>
              <w:spacing w:before="0"/>
              <w:rPr>
                <w:rFonts w:cs="Arial"/>
                <w:iCs/>
                <w:color w:val="000000"/>
                <w:lang w:val="en-NZ"/>
              </w:rPr>
            </w:pPr>
            <w:r w:rsidRPr="0003653F">
              <w:rPr>
                <w:rFonts w:cs="Arial"/>
                <w:iCs/>
                <w:color w:val="000000"/>
                <w:lang w:val="en-NZ"/>
              </w:rPr>
              <w:t xml:space="preserve">Assessment </w:t>
            </w:r>
            <w:proofErr w:type="gramStart"/>
            <w:r w:rsidRPr="0003653F">
              <w:rPr>
                <w:rFonts w:cs="Arial"/>
                <w:iCs/>
                <w:color w:val="000000"/>
                <w:lang w:val="en-NZ"/>
              </w:rPr>
              <w:t>materials;</w:t>
            </w:r>
            <w:proofErr w:type="gramEnd"/>
          </w:p>
          <w:p w14:paraId="036AE93A" w14:textId="77777777" w:rsidR="00736967" w:rsidRPr="0003653F" w:rsidRDefault="00D72A1B" w:rsidP="00566D87">
            <w:pPr>
              <w:pStyle w:val="TableBullet1"/>
              <w:numPr>
                <w:ilvl w:val="0"/>
                <w:numId w:val="25"/>
              </w:numPr>
              <w:spacing w:before="0"/>
              <w:rPr>
                <w:rFonts w:cs="Arial"/>
                <w:iCs/>
                <w:color w:val="000000"/>
                <w:lang w:val="en-NZ"/>
              </w:rPr>
            </w:pPr>
            <w:r w:rsidRPr="0003653F">
              <w:rPr>
                <w:rFonts w:cs="Arial"/>
                <w:iCs/>
                <w:color w:val="000000"/>
                <w:lang w:val="en-NZ"/>
              </w:rPr>
              <w:t xml:space="preserve">Administrative </w:t>
            </w:r>
            <w:proofErr w:type="gramStart"/>
            <w:r w:rsidRPr="0003653F">
              <w:rPr>
                <w:rFonts w:cs="Arial"/>
                <w:iCs/>
                <w:color w:val="000000"/>
                <w:lang w:val="en-NZ"/>
              </w:rPr>
              <w:t>materials;</w:t>
            </w:r>
            <w:proofErr w:type="gramEnd"/>
          </w:p>
          <w:p w14:paraId="37820D38" w14:textId="77777777" w:rsidR="00736967" w:rsidRPr="0003653F" w:rsidRDefault="00D72A1B" w:rsidP="00566D87">
            <w:pPr>
              <w:pStyle w:val="TableBullet1"/>
              <w:numPr>
                <w:ilvl w:val="0"/>
                <w:numId w:val="25"/>
              </w:numPr>
              <w:spacing w:before="0"/>
              <w:rPr>
                <w:rFonts w:cs="Arial"/>
                <w:iCs/>
                <w:color w:val="000000"/>
                <w:lang w:val="en-NZ"/>
              </w:rPr>
            </w:pPr>
            <w:r w:rsidRPr="0003653F">
              <w:rPr>
                <w:rFonts w:cs="Arial"/>
                <w:iCs/>
                <w:color w:val="000000"/>
                <w:lang w:val="en-NZ"/>
              </w:rPr>
              <w:t xml:space="preserve">Computer software, videos and </w:t>
            </w:r>
            <w:proofErr w:type="gramStart"/>
            <w:r w:rsidRPr="0003653F">
              <w:rPr>
                <w:rFonts w:cs="Arial"/>
                <w:iCs/>
                <w:color w:val="000000"/>
                <w:lang w:val="en-NZ"/>
              </w:rPr>
              <w:t>recordings;</w:t>
            </w:r>
            <w:proofErr w:type="gramEnd"/>
          </w:p>
          <w:p w14:paraId="1341EB33" w14:textId="77777777" w:rsidR="00736967" w:rsidRPr="0003653F" w:rsidRDefault="00D72A1B" w:rsidP="00566D87">
            <w:pPr>
              <w:pStyle w:val="TableBullet1"/>
              <w:numPr>
                <w:ilvl w:val="0"/>
                <w:numId w:val="25"/>
              </w:numPr>
              <w:spacing w:before="0"/>
              <w:rPr>
                <w:rFonts w:cs="Arial"/>
                <w:iCs/>
                <w:color w:val="000000"/>
                <w:lang w:val="en-NZ"/>
              </w:rPr>
            </w:pPr>
            <w:r w:rsidRPr="0003653F">
              <w:rPr>
                <w:rFonts w:cs="Arial"/>
                <w:iCs/>
                <w:color w:val="000000"/>
                <w:lang w:val="en-NZ"/>
              </w:rPr>
              <w:t xml:space="preserve">Creative, literary works, </w:t>
            </w:r>
            <w:proofErr w:type="gramStart"/>
            <w:r w:rsidRPr="0003653F">
              <w:rPr>
                <w:rFonts w:cs="Arial"/>
                <w:iCs/>
                <w:color w:val="000000"/>
                <w:lang w:val="en-NZ"/>
              </w:rPr>
              <w:t>artwork;</w:t>
            </w:r>
            <w:proofErr w:type="gramEnd"/>
          </w:p>
          <w:p w14:paraId="62E8AC70" w14:textId="77777777" w:rsidR="00736967" w:rsidRPr="0003653F" w:rsidRDefault="00D72A1B" w:rsidP="00566D87">
            <w:pPr>
              <w:pStyle w:val="TableBullet1"/>
              <w:numPr>
                <w:ilvl w:val="0"/>
                <w:numId w:val="25"/>
              </w:numPr>
              <w:spacing w:before="0"/>
              <w:rPr>
                <w:rFonts w:cs="Arial"/>
                <w:iCs/>
                <w:color w:val="000000"/>
                <w:lang w:val="en-NZ"/>
              </w:rPr>
            </w:pPr>
            <w:r w:rsidRPr="0003653F">
              <w:rPr>
                <w:rFonts w:cs="Arial"/>
                <w:lang w:val="en-NZ"/>
              </w:rPr>
              <w:t>Discoveries/</w:t>
            </w:r>
            <w:r w:rsidR="009F6DFE" w:rsidRPr="0003653F">
              <w:rPr>
                <w:rFonts w:cs="Arial"/>
                <w:lang w:val="en-NZ"/>
              </w:rPr>
              <w:t>i</w:t>
            </w:r>
            <w:r w:rsidRPr="0003653F">
              <w:rPr>
                <w:rFonts w:cs="Arial"/>
                <w:lang w:val="en-NZ"/>
              </w:rPr>
              <w:t>nnovations/</w:t>
            </w:r>
            <w:proofErr w:type="gramStart"/>
            <w:r w:rsidR="009F6DFE" w:rsidRPr="0003653F">
              <w:rPr>
                <w:rFonts w:cs="Arial"/>
                <w:lang w:val="en-NZ"/>
              </w:rPr>
              <w:t>i</w:t>
            </w:r>
            <w:r w:rsidRPr="0003653F">
              <w:rPr>
                <w:rFonts w:cs="Arial"/>
                <w:lang w:val="en-NZ"/>
              </w:rPr>
              <w:t>nventions;</w:t>
            </w:r>
            <w:proofErr w:type="gramEnd"/>
          </w:p>
          <w:p w14:paraId="132C2546" w14:textId="77777777" w:rsidR="00736967" w:rsidRPr="0003653F" w:rsidRDefault="00D72A1B" w:rsidP="00566D87">
            <w:pPr>
              <w:pStyle w:val="TableBullet1"/>
              <w:numPr>
                <w:ilvl w:val="0"/>
                <w:numId w:val="25"/>
              </w:numPr>
              <w:spacing w:before="0"/>
              <w:rPr>
                <w:rFonts w:cs="Arial"/>
                <w:iCs/>
                <w:color w:val="000000"/>
                <w:lang w:val="en-NZ"/>
              </w:rPr>
            </w:pPr>
            <w:r w:rsidRPr="0003653F">
              <w:rPr>
                <w:rFonts w:cs="Arial"/>
                <w:iCs/>
                <w:color w:val="000000"/>
                <w:lang w:val="en-NZ"/>
              </w:rPr>
              <w:t xml:space="preserve">Patents, </w:t>
            </w:r>
            <w:r w:rsidR="003A2612" w:rsidRPr="0003653F">
              <w:rPr>
                <w:rFonts w:cs="Arial"/>
                <w:iCs/>
                <w:color w:val="000000"/>
                <w:lang w:val="en-NZ"/>
              </w:rPr>
              <w:t>copyright</w:t>
            </w:r>
            <w:r w:rsidRPr="0003653F">
              <w:rPr>
                <w:rFonts w:cs="Arial"/>
                <w:iCs/>
                <w:color w:val="000000"/>
                <w:lang w:val="en-NZ"/>
              </w:rPr>
              <w:t xml:space="preserve">, designs, </w:t>
            </w:r>
            <w:proofErr w:type="gramStart"/>
            <w:r w:rsidRPr="0003653F">
              <w:rPr>
                <w:rFonts w:cs="Arial"/>
                <w:iCs/>
                <w:color w:val="000000"/>
                <w:lang w:val="en-NZ"/>
              </w:rPr>
              <w:t>trademarks;</w:t>
            </w:r>
            <w:proofErr w:type="gramEnd"/>
          </w:p>
          <w:p w14:paraId="1F9EA714" w14:textId="77777777" w:rsidR="00736967" w:rsidRPr="0003653F" w:rsidRDefault="00D72A1B" w:rsidP="00566D87">
            <w:pPr>
              <w:pStyle w:val="TableBullet1"/>
              <w:numPr>
                <w:ilvl w:val="0"/>
                <w:numId w:val="25"/>
              </w:numPr>
              <w:spacing w:before="0"/>
              <w:rPr>
                <w:rFonts w:cs="Arial"/>
                <w:iCs/>
                <w:color w:val="000000"/>
                <w:lang w:val="en-NZ"/>
              </w:rPr>
            </w:pPr>
            <w:r w:rsidRPr="0003653F">
              <w:rPr>
                <w:rFonts w:cs="Arial"/>
                <w:iCs/>
                <w:color w:val="000000"/>
                <w:lang w:val="en-NZ"/>
              </w:rPr>
              <w:t xml:space="preserve">Patentable and potentially patentable subject matter and associated know </w:t>
            </w:r>
            <w:proofErr w:type="gramStart"/>
            <w:r w:rsidRPr="0003653F">
              <w:rPr>
                <w:rFonts w:cs="Arial"/>
                <w:iCs/>
                <w:color w:val="000000"/>
                <w:lang w:val="en-NZ"/>
              </w:rPr>
              <w:t>how;</w:t>
            </w:r>
            <w:proofErr w:type="gramEnd"/>
          </w:p>
          <w:p w14:paraId="247C6A08" w14:textId="77777777" w:rsidR="00736967" w:rsidRPr="0003653F" w:rsidRDefault="00D72A1B" w:rsidP="00566D87">
            <w:pPr>
              <w:pStyle w:val="TableBullet1"/>
              <w:numPr>
                <w:ilvl w:val="0"/>
                <w:numId w:val="25"/>
              </w:numPr>
              <w:spacing w:before="0"/>
              <w:rPr>
                <w:rFonts w:cs="Arial"/>
                <w:iCs/>
                <w:color w:val="000000"/>
                <w:lang w:val="en-NZ"/>
              </w:rPr>
            </w:pPr>
            <w:r w:rsidRPr="0003653F">
              <w:rPr>
                <w:rFonts w:cs="Arial"/>
                <w:iCs/>
                <w:color w:val="000000"/>
                <w:lang w:val="en-NZ"/>
              </w:rPr>
              <w:t xml:space="preserve">Plant </w:t>
            </w:r>
            <w:r w:rsidR="003A2612" w:rsidRPr="0003653F">
              <w:rPr>
                <w:rFonts w:cs="Arial"/>
                <w:iCs/>
                <w:color w:val="000000"/>
                <w:lang w:val="en-NZ"/>
              </w:rPr>
              <w:t>variety</w:t>
            </w:r>
            <w:r w:rsidRPr="0003653F">
              <w:rPr>
                <w:rFonts w:cs="Arial"/>
                <w:iCs/>
                <w:color w:val="000000"/>
                <w:lang w:val="en-NZ"/>
              </w:rPr>
              <w:t>; and</w:t>
            </w:r>
          </w:p>
          <w:p w14:paraId="188D4320" w14:textId="44301AE3" w:rsidR="00E9120B" w:rsidRPr="0003653F" w:rsidRDefault="00893B2F" w:rsidP="004A4158">
            <w:pPr>
              <w:pStyle w:val="TableBullet1"/>
              <w:numPr>
                <w:ilvl w:val="0"/>
                <w:numId w:val="25"/>
              </w:numPr>
              <w:spacing w:beforeLines="40" w:before="96" w:after="0"/>
              <w:rPr>
                <w:rFonts w:cs="Arial"/>
                <w:lang w:val="en-NZ"/>
              </w:rPr>
            </w:pPr>
            <w:r>
              <w:rPr>
                <w:rFonts w:cs="Arial"/>
                <w:lang w:val="en-NZ"/>
              </w:rPr>
              <w:t>ATNZ</w:t>
            </w:r>
            <w:r w:rsidR="00D72A1B" w:rsidRPr="0003653F">
              <w:rPr>
                <w:rFonts w:cs="Arial"/>
                <w:lang w:val="en-NZ"/>
              </w:rPr>
              <w:t xml:space="preserve"> data.</w:t>
            </w:r>
          </w:p>
        </w:tc>
      </w:tr>
      <w:tr w:rsidR="00D97E94" w:rsidRPr="0003653F" w14:paraId="0A62B146" w14:textId="77777777" w:rsidTr="00D97E94">
        <w:tc>
          <w:tcPr>
            <w:tcW w:w="2268" w:type="dxa"/>
            <w:tcBorders>
              <w:bottom w:val="single" w:sz="4" w:space="0" w:color="auto"/>
            </w:tcBorders>
            <w:shd w:val="clear" w:color="auto" w:fill="auto"/>
          </w:tcPr>
          <w:p w14:paraId="195E4155" w14:textId="150B7B7E" w:rsidR="00D97E94" w:rsidRPr="0003653F" w:rsidRDefault="00D97E94" w:rsidP="00D03B05">
            <w:pPr>
              <w:pStyle w:val="TableText"/>
              <w:spacing w:beforeLines="60" w:before="144" w:after="0"/>
              <w:rPr>
                <w:rFonts w:cs="Arial"/>
                <w:b/>
                <w:lang w:val="en-NZ"/>
              </w:rPr>
            </w:pPr>
            <w:r w:rsidRPr="0003653F">
              <w:rPr>
                <w:rFonts w:cs="Arial"/>
                <w:b/>
                <w:lang w:val="en-NZ"/>
              </w:rPr>
              <w:t xml:space="preserve">International </w:t>
            </w:r>
            <w:r w:rsidR="00893B2F">
              <w:rPr>
                <w:rFonts w:cs="Arial"/>
                <w:b/>
                <w:lang w:val="en-NZ"/>
              </w:rPr>
              <w:t>learner</w:t>
            </w:r>
          </w:p>
        </w:tc>
        <w:tc>
          <w:tcPr>
            <w:tcW w:w="7337" w:type="dxa"/>
            <w:tcBorders>
              <w:bottom w:val="single" w:sz="4" w:space="0" w:color="auto"/>
            </w:tcBorders>
            <w:shd w:val="clear" w:color="auto" w:fill="auto"/>
          </w:tcPr>
          <w:p w14:paraId="3D268901" w14:textId="50127021" w:rsidR="00D97E94" w:rsidRPr="0003653F" w:rsidRDefault="00D97E94" w:rsidP="004A4158">
            <w:pPr>
              <w:pStyle w:val="TableText"/>
              <w:spacing w:beforeLines="60" w:before="144" w:after="0"/>
              <w:rPr>
                <w:rFonts w:cs="Arial"/>
                <w:lang w:val="en-NZ"/>
              </w:rPr>
            </w:pPr>
            <w:r w:rsidRPr="0003653F">
              <w:rPr>
                <w:rFonts w:cs="Arial"/>
                <w:iCs/>
                <w:color w:val="000000"/>
                <w:lang w:val="en-NZ"/>
              </w:rPr>
              <w:t xml:space="preserve">Any </w:t>
            </w:r>
            <w:r w:rsidR="00893B2F">
              <w:rPr>
                <w:rFonts w:cs="Arial"/>
                <w:iCs/>
                <w:color w:val="000000"/>
                <w:lang w:val="en-NZ"/>
              </w:rPr>
              <w:t>learner</w:t>
            </w:r>
            <w:r w:rsidRPr="0003653F">
              <w:rPr>
                <w:rFonts w:cs="Arial"/>
                <w:iCs/>
                <w:color w:val="000000"/>
                <w:lang w:val="en-NZ"/>
              </w:rPr>
              <w:t xml:space="preserve"> who is not a domestic </w:t>
            </w:r>
            <w:r w:rsidR="00893B2F">
              <w:rPr>
                <w:rFonts w:cs="Arial"/>
                <w:iCs/>
                <w:color w:val="000000"/>
                <w:lang w:val="en-NZ"/>
              </w:rPr>
              <w:t>learner</w:t>
            </w:r>
            <w:r w:rsidRPr="0003653F">
              <w:rPr>
                <w:rFonts w:cs="Arial"/>
                <w:iCs/>
                <w:color w:val="000000"/>
                <w:lang w:val="en-NZ"/>
              </w:rPr>
              <w:t xml:space="preserve">. </w:t>
            </w:r>
          </w:p>
        </w:tc>
      </w:tr>
      <w:tr w:rsidR="008E1A93" w:rsidRPr="0003653F" w14:paraId="15AF7227" w14:textId="77777777" w:rsidTr="00D97E94">
        <w:tc>
          <w:tcPr>
            <w:tcW w:w="2268" w:type="dxa"/>
            <w:tcBorders>
              <w:bottom w:val="single" w:sz="4" w:space="0" w:color="auto"/>
            </w:tcBorders>
            <w:shd w:val="clear" w:color="auto" w:fill="auto"/>
          </w:tcPr>
          <w:p w14:paraId="07378FF8" w14:textId="77777777" w:rsidR="008E1A93" w:rsidRPr="0003653F" w:rsidRDefault="008E1A93" w:rsidP="008E1A93">
            <w:pPr>
              <w:pStyle w:val="TableText"/>
              <w:spacing w:beforeLines="60" w:before="144" w:after="0"/>
              <w:rPr>
                <w:rFonts w:cs="Arial"/>
                <w:b/>
                <w:lang w:val="en-NZ"/>
              </w:rPr>
            </w:pPr>
            <w:r w:rsidRPr="0003653F">
              <w:rPr>
                <w:rFonts w:cs="Arial"/>
                <w:b/>
                <w:lang w:val="en-NZ"/>
              </w:rPr>
              <w:t>Learning Outcome</w:t>
            </w:r>
          </w:p>
        </w:tc>
        <w:tc>
          <w:tcPr>
            <w:tcW w:w="7337" w:type="dxa"/>
            <w:tcBorders>
              <w:bottom w:val="single" w:sz="4" w:space="0" w:color="auto"/>
            </w:tcBorders>
            <w:shd w:val="clear" w:color="auto" w:fill="auto"/>
          </w:tcPr>
          <w:p w14:paraId="40BC5FAE" w14:textId="0BDF355D" w:rsidR="008E1A93" w:rsidRPr="0003653F" w:rsidRDefault="008E1A93" w:rsidP="004A4158">
            <w:pPr>
              <w:pStyle w:val="TableText"/>
              <w:spacing w:beforeLines="60" w:before="144" w:after="0"/>
              <w:rPr>
                <w:rFonts w:cs="Arial"/>
              </w:rPr>
            </w:pPr>
            <w:r w:rsidRPr="0003653F">
              <w:rPr>
                <w:rFonts w:cs="Arial"/>
                <w:iCs/>
                <w:color w:val="000000"/>
                <w:lang w:val="en-NZ"/>
              </w:rPr>
              <w:t xml:space="preserve">An expected result of learning in terms of skills, </w:t>
            </w:r>
            <w:proofErr w:type="gramStart"/>
            <w:r w:rsidRPr="0003653F">
              <w:rPr>
                <w:rFonts w:cs="Arial"/>
                <w:iCs/>
                <w:color w:val="000000"/>
                <w:lang w:val="en-NZ"/>
              </w:rPr>
              <w:t>knowledge</w:t>
            </w:r>
            <w:proofErr w:type="gramEnd"/>
            <w:r w:rsidRPr="0003653F">
              <w:rPr>
                <w:rFonts w:cs="Arial"/>
                <w:iCs/>
                <w:color w:val="000000"/>
                <w:lang w:val="en-NZ"/>
              </w:rPr>
              <w:t xml:space="preserve"> and attributes.</w:t>
            </w:r>
          </w:p>
        </w:tc>
      </w:tr>
      <w:tr w:rsidR="00061095" w:rsidRPr="0003653F" w14:paraId="645B92A4" w14:textId="77777777" w:rsidTr="0008034F">
        <w:tc>
          <w:tcPr>
            <w:tcW w:w="2268" w:type="dxa"/>
            <w:shd w:val="clear" w:color="auto" w:fill="auto"/>
          </w:tcPr>
          <w:p w14:paraId="06BAF0C7" w14:textId="77777777" w:rsidR="00061095" w:rsidRPr="0003653F" w:rsidRDefault="00D72A1B" w:rsidP="00D03B05">
            <w:pPr>
              <w:pStyle w:val="TableText"/>
              <w:spacing w:beforeLines="60" w:before="144" w:after="0"/>
              <w:rPr>
                <w:rFonts w:cs="Arial"/>
                <w:b/>
                <w:lang w:val="en-NZ"/>
              </w:rPr>
            </w:pPr>
            <w:r w:rsidRPr="0003653F">
              <w:rPr>
                <w:rFonts w:cs="Arial"/>
                <w:b/>
                <w:lang w:val="en-NZ"/>
              </w:rPr>
              <w:t>Level</w:t>
            </w:r>
          </w:p>
        </w:tc>
        <w:tc>
          <w:tcPr>
            <w:tcW w:w="7337" w:type="dxa"/>
            <w:shd w:val="clear" w:color="auto" w:fill="auto"/>
          </w:tcPr>
          <w:p w14:paraId="25345989" w14:textId="0A2BB69A" w:rsidR="00061095" w:rsidRPr="0003653F" w:rsidRDefault="00D72A1B" w:rsidP="004A4158">
            <w:pPr>
              <w:pStyle w:val="TableText"/>
              <w:spacing w:beforeLines="60" w:before="144" w:after="0"/>
              <w:ind w:right="240"/>
              <w:rPr>
                <w:rFonts w:cs="Arial"/>
                <w:lang w:val="en-NZ"/>
              </w:rPr>
            </w:pPr>
            <w:r w:rsidRPr="0003653F">
              <w:rPr>
                <w:rFonts w:cs="Arial"/>
                <w:iCs/>
                <w:color w:val="000000"/>
                <w:lang w:val="en-NZ"/>
              </w:rPr>
              <w:t>The level of an award as defined by New Zealand Qualifications Authority.</w:t>
            </w:r>
          </w:p>
        </w:tc>
      </w:tr>
      <w:tr w:rsidR="004310D5" w:rsidRPr="0003653F" w14:paraId="161F4B52" w14:textId="77777777" w:rsidTr="007526FC">
        <w:tc>
          <w:tcPr>
            <w:tcW w:w="226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28158E6C" w14:textId="77777777" w:rsidR="004310D5" w:rsidRPr="0003653F" w:rsidRDefault="004310D5" w:rsidP="007526FC">
            <w:pPr>
              <w:pStyle w:val="TableText"/>
              <w:spacing w:beforeLines="60" w:before="144" w:after="0"/>
              <w:rPr>
                <w:rFonts w:cs="Arial"/>
                <w:b/>
                <w:lang w:val="en-NZ"/>
              </w:rPr>
            </w:pPr>
            <w:r>
              <w:rPr>
                <w:rFonts w:cs="Arial"/>
                <w:b/>
                <w:lang w:val="en-NZ"/>
              </w:rPr>
              <w:t>Mis</w:t>
            </w:r>
            <w:r w:rsidR="006502F0">
              <w:rPr>
                <w:rFonts w:cs="Arial"/>
                <w:b/>
                <w:lang w:val="en-NZ"/>
              </w:rPr>
              <w:t>behaviour</w:t>
            </w:r>
          </w:p>
        </w:tc>
        <w:tc>
          <w:tcPr>
            <w:tcW w:w="73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5E058DD7" w14:textId="65A3599B" w:rsidR="004310D5" w:rsidRPr="0003653F" w:rsidRDefault="004310D5" w:rsidP="007526FC">
            <w:pPr>
              <w:pStyle w:val="TableText"/>
              <w:spacing w:beforeLines="40" w:before="96" w:after="0"/>
              <w:rPr>
                <w:rFonts w:cs="Arial"/>
                <w:iCs/>
                <w:color w:val="000000"/>
                <w:lang w:val="en-NZ"/>
              </w:rPr>
            </w:pPr>
            <w:r>
              <w:rPr>
                <w:rFonts w:cs="Arial"/>
                <w:iCs/>
                <w:color w:val="000000"/>
                <w:lang w:val="en-NZ"/>
              </w:rPr>
              <w:t xml:space="preserve">Are day to day </w:t>
            </w:r>
            <w:r w:rsidR="006502F0">
              <w:rPr>
                <w:rFonts w:cs="Arial"/>
                <w:iCs/>
                <w:color w:val="000000"/>
                <w:lang w:val="en-NZ"/>
              </w:rPr>
              <w:t xml:space="preserve">and/or minor </w:t>
            </w:r>
            <w:r>
              <w:rPr>
                <w:rFonts w:cs="Arial"/>
                <w:iCs/>
                <w:color w:val="000000"/>
                <w:lang w:val="en-NZ"/>
              </w:rPr>
              <w:t xml:space="preserve">incidents of misconduct that are observed by staff in </w:t>
            </w:r>
            <w:r w:rsidR="008F16D6">
              <w:rPr>
                <w:rFonts w:cs="Arial"/>
                <w:iCs/>
                <w:color w:val="000000"/>
                <w:lang w:val="en-NZ"/>
              </w:rPr>
              <w:t xml:space="preserve">learning or workplace </w:t>
            </w:r>
            <w:r>
              <w:rPr>
                <w:rFonts w:cs="Arial"/>
                <w:iCs/>
                <w:color w:val="000000"/>
                <w:lang w:val="en-NZ"/>
              </w:rPr>
              <w:t xml:space="preserve">settings that can be readily addressed at the time. Examples could include rowdiness, inappropriate comment, disruptive </w:t>
            </w:r>
            <w:r>
              <w:rPr>
                <w:rFonts w:cs="Arial"/>
                <w:iCs/>
                <w:color w:val="000000"/>
                <w:lang w:val="en-NZ"/>
              </w:rPr>
              <w:lastRenderedPageBreak/>
              <w:t xml:space="preserve">behaviour, isolated but minor cases of not adhering to instructions or regulations such as designated smoking areas   </w:t>
            </w:r>
          </w:p>
        </w:tc>
      </w:tr>
      <w:tr w:rsidR="008F4E11" w:rsidRPr="0003653F" w14:paraId="4BBC6B97" w14:textId="77777777" w:rsidTr="007526FC">
        <w:tc>
          <w:tcPr>
            <w:tcW w:w="226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499956F0" w14:textId="77777777" w:rsidR="008F4E11" w:rsidRPr="0003653F" w:rsidRDefault="008F4E11" w:rsidP="007526FC">
            <w:pPr>
              <w:pStyle w:val="TableText"/>
              <w:spacing w:beforeLines="60" w:before="144" w:after="0"/>
              <w:rPr>
                <w:rFonts w:cs="Arial"/>
                <w:b/>
                <w:lang w:val="en-NZ"/>
              </w:rPr>
            </w:pPr>
            <w:r w:rsidRPr="0003653F">
              <w:rPr>
                <w:rFonts w:cs="Arial"/>
                <w:b/>
                <w:lang w:val="en-NZ"/>
              </w:rPr>
              <w:lastRenderedPageBreak/>
              <w:t>Misconduct</w:t>
            </w:r>
          </w:p>
        </w:tc>
        <w:tc>
          <w:tcPr>
            <w:tcW w:w="73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1AA92056" w14:textId="6438744E" w:rsidR="008F4E11" w:rsidRPr="0003653F" w:rsidRDefault="008F4E11" w:rsidP="00B023D8">
            <w:pPr>
              <w:pStyle w:val="TableText"/>
              <w:spacing w:beforeLines="40" w:before="96" w:after="0"/>
              <w:rPr>
                <w:rFonts w:cs="Arial"/>
                <w:iCs/>
                <w:color w:val="000000"/>
                <w:lang w:val="en-NZ"/>
              </w:rPr>
            </w:pPr>
            <w:r w:rsidRPr="0003653F">
              <w:rPr>
                <w:rFonts w:cs="Arial"/>
                <w:iCs/>
                <w:color w:val="000000"/>
                <w:lang w:val="en-NZ"/>
              </w:rPr>
              <w:t xml:space="preserve">Misconduct is any </w:t>
            </w:r>
            <w:r w:rsidR="00893B2F">
              <w:rPr>
                <w:rFonts w:cs="Arial"/>
                <w:iCs/>
                <w:color w:val="000000"/>
                <w:lang w:val="en-NZ"/>
              </w:rPr>
              <w:t>learner</w:t>
            </w:r>
            <w:r w:rsidRPr="0003653F">
              <w:rPr>
                <w:rFonts w:cs="Arial"/>
                <w:iCs/>
                <w:color w:val="000000"/>
                <w:lang w:val="en-NZ"/>
              </w:rPr>
              <w:t xml:space="preserve"> behaviour that:</w:t>
            </w:r>
          </w:p>
          <w:p w14:paraId="654A5357" w14:textId="210403CF" w:rsidR="008F4E11" w:rsidRPr="0003653F"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 xml:space="preserve">Breaches any of </w:t>
            </w:r>
            <w:r w:rsidR="00893B2F">
              <w:rPr>
                <w:rFonts w:cs="Arial"/>
                <w:iCs/>
                <w:color w:val="000000"/>
                <w:lang w:val="en-NZ"/>
              </w:rPr>
              <w:t>ATNZ</w:t>
            </w:r>
            <w:r w:rsidRPr="0003653F">
              <w:rPr>
                <w:rFonts w:cs="Arial"/>
                <w:iCs/>
                <w:color w:val="000000"/>
                <w:lang w:val="en-NZ"/>
              </w:rPr>
              <w:t xml:space="preserve">’s regulations, policies or any other rules made for the good governance of </w:t>
            </w:r>
            <w:proofErr w:type="gramStart"/>
            <w:r w:rsidR="00893B2F">
              <w:rPr>
                <w:rFonts w:cs="Arial"/>
                <w:iCs/>
                <w:color w:val="000000"/>
                <w:lang w:val="en-NZ"/>
              </w:rPr>
              <w:t>ATNZ</w:t>
            </w:r>
            <w:r w:rsidRPr="0003653F">
              <w:rPr>
                <w:rFonts w:cs="Arial"/>
                <w:iCs/>
                <w:color w:val="000000"/>
                <w:lang w:val="en-NZ"/>
              </w:rPr>
              <w:t>;</w:t>
            </w:r>
            <w:proofErr w:type="gramEnd"/>
            <w:r w:rsidRPr="0003653F">
              <w:rPr>
                <w:rFonts w:cs="Arial"/>
                <w:iCs/>
                <w:color w:val="000000"/>
                <w:lang w:val="en-NZ"/>
              </w:rPr>
              <w:t xml:space="preserve"> </w:t>
            </w:r>
          </w:p>
          <w:p w14:paraId="6F6C111C" w14:textId="77777777" w:rsidR="008F4E11" w:rsidRPr="0003653F"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 xml:space="preserve">Breaches any of the laws or legislation of New </w:t>
            </w:r>
            <w:proofErr w:type="gramStart"/>
            <w:r w:rsidRPr="0003653F">
              <w:rPr>
                <w:rFonts w:cs="Arial"/>
                <w:iCs/>
                <w:color w:val="000000"/>
                <w:lang w:val="en-NZ"/>
              </w:rPr>
              <w:t>Zealand;</w:t>
            </w:r>
            <w:proofErr w:type="gramEnd"/>
            <w:r w:rsidRPr="0003653F">
              <w:rPr>
                <w:rFonts w:cs="Arial"/>
                <w:iCs/>
                <w:color w:val="000000"/>
                <w:lang w:val="en-NZ"/>
              </w:rPr>
              <w:t xml:space="preserve"> </w:t>
            </w:r>
          </w:p>
          <w:p w14:paraId="1FD95D94" w14:textId="0482A389" w:rsidR="008F4E11" w:rsidRPr="0003653F"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 xml:space="preserve">Brings or has the potential to bring </w:t>
            </w:r>
            <w:r w:rsidR="00893B2F">
              <w:rPr>
                <w:rFonts w:cs="Arial"/>
                <w:iCs/>
                <w:color w:val="000000"/>
                <w:lang w:val="en-NZ"/>
              </w:rPr>
              <w:t>ATNZ</w:t>
            </w:r>
            <w:r w:rsidRPr="0003653F">
              <w:rPr>
                <w:rFonts w:cs="Arial"/>
                <w:iCs/>
                <w:color w:val="000000"/>
                <w:lang w:val="en-NZ"/>
              </w:rPr>
              <w:t xml:space="preserve"> into </w:t>
            </w:r>
            <w:proofErr w:type="gramStart"/>
            <w:r w:rsidRPr="0003653F">
              <w:rPr>
                <w:rFonts w:cs="Arial"/>
                <w:iCs/>
                <w:color w:val="000000"/>
                <w:lang w:val="en-NZ"/>
              </w:rPr>
              <w:t>disrepute;</w:t>
            </w:r>
            <w:proofErr w:type="gramEnd"/>
            <w:r w:rsidRPr="0003653F">
              <w:rPr>
                <w:rFonts w:cs="Arial"/>
                <w:iCs/>
                <w:color w:val="000000"/>
                <w:lang w:val="en-NZ"/>
              </w:rPr>
              <w:t xml:space="preserve"> </w:t>
            </w:r>
          </w:p>
          <w:p w14:paraId="70E7BAB9" w14:textId="7C7AE796" w:rsidR="008F4E11" w:rsidRPr="0003653F"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 xml:space="preserve">Interferes with </w:t>
            </w:r>
            <w:r w:rsidR="00893B2F">
              <w:rPr>
                <w:rFonts w:cs="Arial"/>
                <w:iCs/>
                <w:color w:val="000000"/>
                <w:lang w:val="en-NZ"/>
              </w:rPr>
              <w:t>ATNZ</w:t>
            </w:r>
            <w:r w:rsidRPr="0003653F">
              <w:rPr>
                <w:rFonts w:cs="Arial"/>
                <w:iCs/>
                <w:color w:val="000000"/>
                <w:lang w:val="en-NZ"/>
              </w:rPr>
              <w:t xml:space="preserve">'s pursuit of its educational </w:t>
            </w:r>
            <w:proofErr w:type="gramStart"/>
            <w:r w:rsidRPr="0003653F">
              <w:rPr>
                <w:rFonts w:cs="Arial"/>
                <w:iCs/>
                <w:color w:val="000000"/>
                <w:lang w:val="en-NZ"/>
              </w:rPr>
              <w:t>objectives;</w:t>
            </w:r>
            <w:proofErr w:type="gramEnd"/>
            <w:r w:rsidRPr="0003653F">
              <w:rPr>
                <w:rFonts w:cs="Arial"/>
                <w:iCs/>
                <w:color w:val="000000"/>
                <w:lang w:val="en-NZ"/>
              </w:rPr>
              <w:t xml:space="preserve"> </w:t>
            </w:r>
          </w:p>
          <w:p w14:paraId="04F341BF" w14:textId="77777777" w:rsidR="008F4E11" w:rsidRPr="0003653F"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Fails to have regard for the rights of others; or</w:t>
            </w:r>
          </w:p>
          <w:p w14:paraId="032DFDA7" w14:textId="77777777" w:rsidR="008F4E11" w:rsidRPr="0003653F" w:rsidRDefault="008F4E11" w:rsidP="00566D87">
            <w:pPr>
              <w:pStyle w:val="TableBullet1"/>
              <w:numPr>
                <w:ilvl w:val="0"/>
                <w:numId w:val="23"/>
              </w:numPr>
              <w:spacing w:beforeLines="40" w:before="96" w:after="0"/>
              <w:rPr>
                <w:rFonts w:cs="Arial"/>
                <w:iCs/>
                <w:color w:val="000000"/>
                <w:lang w:val="en-NZ"/>
              </w:rPr>
            </w:pPr>
            <w:r w:rsidRPr="0003653F">
              <w:rPr>
                <w:rFonts w:cs="Arial"/>
                <w:iCs/>
                <w:color w:val="000000"/>
                <w:lang w:val="en-NZ"/>
              </w:rPr>
              <w:t xml:space="preserve">Interferes with the safety of persons or </w:t>
            </w:r>
            <w:proofErr w:type="gramStart"/>
            <w:r w:rsidRPr="0003653F">
              <w:rPr>
                <w:rFonts w:cs="Arial"/>
                <w:iCs/>
                <w:color w:val="000000"/>
                <w:lang w:val="en-NZ"/>
              </w:rPr>
              <w:t>property;</w:t>
            </w:r>
            <w:proofErr w:type="gramEnd"/>
          </w:p>
          <w:p w14:paraId="1668AB2A" w14:textId="77777777" w:rsidR="008F4E11" w:rsidRPr="0003653F" w:rsidRDefault="008F4E11" w:rsidP="00566D87">
            <w:pPr>
              <w:pStyle w:val="TableBullet1"/>
              <w:numPr>
                <w:ilvl w:val="0"/>
                <w:numId w:val="23"/>
              </w:numPr>
              <w:spacing w:beforeLines="30" w:before="72" w:after="0"/>
              <w:rPr>
                <w:rFonts w:cs="Arial"/>
                <w:b/>
                <w:iCs/>
                <w:color w:val="000000"/>
                <w:lang w:val="en-NZ"/>
              </w:rPr>
            </w:pPr>
            <w:r w:rsidRPr="0003653F">
              <w:rPr>
                <w:rFonts w:cs="Arial"/>
                <w:b/>
                <w:iCs/>
                <w:color w:val="000000"/>
                <w:lang w:val="en-NZ"/>
              </w:rPr>
              <w:t>and</w:t>
            </w:r>
          </w:p>
          <w:p w14:paraId="37784F3B" w14:textId="4EED9AE9" w:rsidR="000B2655"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 xml:space="preserve">Occurs in the context of any </w:t>
            </w:r>
            <w:r w:rsidR="00893B2F">
              <w:rPr>
                <w:rFonts w:cs="Arial"/>
                <w:iCs/>
                <w:color w:val="000000"/>
                <w:lang w:val="en-NZ"/>
              </w:rPr>
              <w:t>ATNZ</w:t>
            </w:r>
            <w:r w:rsidRPr="0003653F">
              <w:rPr>
                <w:rFonts w:cs="Arial"/>
                <w:iCs/>
                <w:color w:val="000000"/>
                <w:lang w:val="en-NZ"/>
              </w:rPr>
              <w:t xml:space="preserve"> activity including </w:t>
            </w:r>
            <w:r w:rsidR="00B023D8">
              <w:rPr>
                <w:rFonts w:cs="Arial"/>
                <w:iCs/>
                <w:color w:val="000000"/>
                <w:lang w:val="en-NZ"/>
              </w:rPr>
              <w:t>workplaces where work-based learning occurs</w:t>
            </w:r>
            <w:r w:rsidRPr="0003653F">
              <w:rPr>
                <w:rFonts w:cs="Arial"/>
                <w:iCs/>
                <w:color w:val="000000"/>
                <w:lang w:val="en-NZ"/>
              </w:rPr>
              <w:t>; or</w:t>
            </w:r>
          </w:p>
          <w:p w14:paraId="1D845151" w14:textId="4F295DE2" w:rsidR="000B2655" w:rsidRPr="000B2655" w:rsidRDefault="000B2655"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 xml:space="preserve">Is related to a </w:t>
            </w:r>
            <w:r w:rsidR="00893B2F">
              <w:rPr>
                <w:rFonts w:cs="Arial"/>
                <w:iCs/>
                <w:color w:val="000000"/>
                <w:lang w:val="en-NZ"/>
              </w:rPr>
              <w:t>learner</w:t>
            </w:r>
            <w:r w:rsidRPr="0003653F">
              <w:rPr>
                <w:rFonts w:cs="Arial"/>
                <w:iCs/>
                <w:color w:val="000000"/>
                <w:lang w:val="en-NZ"/>
              </w:rPr>
              <w:t xml:space="preserve">’s status as a </w:t>
            </w:r>
            <w:r w:rsidR="00893B2F">
              <w:rPr>
                <w:rFonts w:cs="Arial"/>
                <w:iCs/>
                <w:color w:val="000000"/>
                <w:lang w:val="en-NZ"/>
              </w:rPr>
              <w:t>learner</w:t>
            </w:r>
            <w:r w:rsidRPr="0003653F">
              <w:rPr>
                <w:rFonts w:cs="Arial"/>
                <w:iCs/>
                <w:color w:val="000000"/>
                <w:lang w:val="en-NZ"/>
              </w:rPr>
              <w:t xml:space="preserve"> of </w:t>
            </w:r>
            <w:proofErr w:type="gramStart"/>
            <w:r w:rsidR="00893B2F">
              <w:rPr>
                <w:rFonts w:cs="Arial"/>
                <w:iCs/>
                <w:color w:val="000000"/>
                <w:lang w:val="en-NZ"/>
              </w:rPr>
              <w:t>ATNZ</w:t>
            </w:r>
            <w:proofErr w:type="gramEnd"/>
          </w:p>
          <w:p w14:paraId="783063D1" w14:textId="77777777" w:rsidR="008F4E11" w:rsidRPr="0003653F" w:rsidRDefault="008F4E11" w:rsidP="009130A7">
            <w:pPr>
              <w:pStyle w:val="TableBullet1"/>
              <w:spacing w:beforeLines="40" w:before="96" w:after="0"/>
              <w:ind w:left="720"/>
              <w:rPr>
                <w:rFonts w:cs="Arial"/>
                <w:lang w:val="en-NZ"/>
              </w:rPr>
            </w:pPr>
            <w:r w:rsidRPr="0003653F">
              <w:rPr>
                <w:rFonts w:cs="Arial"/>
                <w:iCs/>
                <w:color w:val="000000"/>
                <w:lang w:val="en-NZ"/>
              </w:rPr>
              <w:t>.</w:t>
            </w:r>
          </w:p>
          <w:p w14:paraId="73724F7F" w14:textId="77777777" w:rsidR="008F4E11" w:rsidRPr="0003653F" w:rsidRDefault="008F4E11" w:rsidP="009130A7">
            <w:pPr>
              <w:pStyle w:val="TableBullet1"/>
              <w:spacing w:beforeLines="30" w:before="72" w:after="0"/>
              <w:ind w:left="360"/>
              <w:rPr>
                <w:rFonts w:cs="Arial"/>
                <w:lang w:val="en-NZ"/>
              </w:rPr>
            </w:pPr>
            <w:r w:rsidRPr="0003653F">
              <w:rPr>
                <w:rFonts w:cs="Arial"/>
                <w:lang w:val="en-NZ"/>
              </w:rPr>
              <w:t xml:space="preserve">Misconduct includes but is not </w:t>
            </w:r>
            <w:r w:rsidR="00A07AF0" w:rsidRPr="0003653F">
              <w:rPr>
                <w:rFonts w:cs="Arial"/>
                <w:lang w:val="en-NZ"/>
              </w:rPr>
              <w:t>limited</w:t>
            </w:r>
            <w:r w:rsidRPr="0003653F">
              <w:rPr>
                <w:rFonts w:cs="Arial"/>
                <w:lang w:val="en-NZ"/>
              </w:rPr>
              <w:t xml:space="preserve"> to:</w:t>
            </w:r>
          </w:p>
          <w:p w14:paraId="03609DAC" w14:textId="4118FB56" w:rsidR="008F4E11" w:rsidRPr="0003653F" w:rsidRDefault="008F4E11" w:rsidP="00566D87">
            <w:pPr>
              <w:pStyle w:val="TableBullet1"/>
              <w:numPr>
                <w:ilvl w:val="0"/>
                <w:numId w:val="23"/>
              </w:numPr>
              <w:spacing w:beforeLines="30" w:before="72" w:after="0"/>
              <w:rPr>
                <w:rFonts w:cs="Arial"/>
                <w:lang w:val="en-NZ"/>
              </w:rPr>
            </w:pPr>
            <w:r w:rsidRPr="0003653F">
              <w:rPr>
                <w:rFonts w:cs="Arial"/>
                <w:iCs/>
                <w:color w:val="000000"/>
                <w:lang w:val="en-NZ"/>
              </w:rPr>
              <w:t xml:space="preserve">Breaches of any of </w:t>
            </w:r>
            <w:r w:rsidR="00893B2F">
              <w:rPr>
                <w:rFonts w:cs="Arial"/>
                <w:iCs/>
                <w:color w:val="000000"/>
                <w:lang w:val="en-NZ"/>
              </w:rPr>
              <w:t>ATNZ</w:t>
            </w:r>
            <w:r w:rsidRPr="0003653F">
              <w:rPr>
                <w:rFonts w:cs="Arial"/>
                <w:iCs/>
                <w:color w:val="000000"/>
                <w:lang w:val="en-NZ"/>
              </w:rPr>
              <w:t xml:space="preserve">’s regulations, policies or any other rules made for the good governance of </w:t>
            </w:r>
            <w:proofErr w:type="gramStart"/>
            <w:r w:rsidR="00893B2F">
              <w:rPr>
                <w:rFonts w:cs="Arial"/>
                <w:iCs/>
                <w:color w:val="000000"/>
                <w:lang w:val="en-NZ"/>
              </w:rPr>
              <w:t>ATNZ</w:t>
            </w:r>
            <w:r w:rsidRPr="0003653F">
              <w:rPr>
                <w:rFonts w:cs="Arial"/>
                <w:iCs/>
                <w:color w:val="000000"/>
                <w:lang w:val="en-NZ"/>
              </w:rPr>
              <w:t>;</w:t>
            </w:r>
            <w:proofErr w:type="gramEnd"/>
          </w:p>
          <w:p w14:paraId="2C8D7D91" w14:textId="762F7512" w:rsidR="008F4E11" w:rsidRPr="0003653F"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Failing to comply with directions given by any staff member</w:t>
            </w:r>
            <w:r w:rsidR="00B023D8">
              <w:rPr>
                <w:rFonts w:cs="Arial"/>
                <w:iCs/>
                <w:color w:val="000000"/>
                <w:lang w:val="en-NZ"/>
              </w:rPr>
              <w:t xml:space="preserve"> or workplace supervisor</w:t>
            </w:r>
            <w:r w:rsidRPr="0003653F">
              <w:rPr>
                <w:rFonts w:cs="Arial"/>
                <w:iCs/>
                <w:color w:val="000000"/>
                <w:lang w:val="en-NZ"/>
              </w:rPr>
              <w:t xml:space="preserve"> to maintain safety, good order or </w:t>
            </w:r>
            <w:proofErr w:type="gramStart"/>
            <w:r w:rsidRPr="0003653F">
              <w:rPr>
                <w:rFonts w:cs="Arial"/>
                <w:iCs/>
                <w:color w:val="000000"/>
                <w:lang w:val="en-NZ"/>
              </w:rPr>
              <w:t>discipline;</w:t>
            </w:r>
            <w:proofErr w:type="gramEnd"/>
          </w:p>
          <w:p w14:paraId="4B16F25A" w14:textId="77777777" w:rsidR="008F4E11" w:rsidRPr="0003653F"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 xml:space="preserve">Acting in a disorderly, reckless, offensive or obscene </w:t>
            </w:r>
            <w:proofErr w:type="gramStart"/>
            <w:r w:rsidRPr="0003653F">
              <w:rPr>
                <w:rFonts w:cs="Arial"/>
                <w:iCs/>
                <w:color w:val="000000"/>
                <w:lang w:val="en-NZ"/>
              </w:rPr>
              <w:t>manner;</w:t>
            </w:r>
            <w:proofErr w:type="gramEnd"/>
          </w:p>
          <w:p w14:paraId="4A5C35E5" w14:textId="15AB2BA7" w:rsidR="0013594B" w:rsidRDefault="0013594B" w:rsidP="00566D87">
            <w:pPr>
              <w:pStyle w:val="TableBullet1"/>
              <w:numPr>
                <w:ilvl w:val="0"/>
                <w:numId w:val="23"/>
              </w:numPr>
              <w:spacing w:beforeLines="30" w:before="72" w:after="0"/>
              <w:rPr>
                <w:rFonts w:cs="Arial"/>
                <w:iCs/>
                <w:color w:val="000000"/>
                <w:lang w:val="en-NZ"/>
              </w:rPr>
            </w:pPr>
            <w:r>
              <w:rPr>
                <w:rFonts w:cs="Arial"/>
                <w:iCs/>
                <w:color w:val="000000"/>
                <w:lang w:val="en-NZ"/>
              </w:rPr>
              <w:t>Being impaired by alcohol or drugs at the commencement of or during activities</w:t>
            </w:r>
            <w:r w:rsidR="000B2655">
              <w:rPr>
                <w:rFonts w:cs="Arial"/>
                <w:iCs/>
                <w:color w:val="000000"/>
                <w:lang w:val="en-NZ"/>
              </w:rPr>
              <w:t xml:space="preserve"> </w:t>
            </w:r>
          </w:p>
          <w:p w14:paraId="7C10A0F6" w14:textId="77777777" w:rsidR="004310D5" w:rsidRDefault="004310D5" w:rsidP="00566D87">
            <w:pPr>
              <w:pStyle w:val="TableBullet1"/>
              <w:numPr>
                <w:ilvl w:val="0"/>
                <w:numId w:val="23"/>
              </w:numPr>
              <w:spacing w:beforeLines="30" w:before="72" w:after="0"/>
              <w:rPr>
                <w:rFonts w:cs="Arial"/>
                <w:iCs/>
                <w:color w:val="000000"/>
                <w:lang w:val="en-NZ"/>
              </w:rPr>
            </w:pPr>
            <w:r>
              <w:rPr>
                <w:rFonts w:cs="Arial"/>
                <w:iCs/>
                <w:color w:val="000000"/>
                <w:lang w:val="en-NZ"/>
              </w:rPr>
              <w:t>Continuing incidents of minor misconduct</w:t>
            </w:r>
          </w:p>
          <w:p w14:paraId="24FC097C" w14:textId="77777777" w:rsidR="00C83ABB" w:rsidRDefault="00C83ABB" w:rsidP="00566D87">
            <w:pPr>
              <w:pStyle w:val="TableBullet1"/>
              <w:numPr>
                <w:ilvl w:val="0"/>
                <w:numId w:val="23"/>
              </w:numPr>
              <w:spacing w:beforeLines="30" w:before="72" w:after="0"/>
              <w:rPr>
                <w:rFonts w:cs="Arial"/>
                <w:iCs/>
                <w:color w:val="000000"/>
                <w:lang w:val="en-NZ"/>
              </w:rPr>
            </w:pPr>
            <w:r>
              <w:rPr>
                <w:rFonts w:cs="Arial"/>
                <w:iCs/>
                <w:color w:val="000000"/>
                <w:lang w:val="en-NZ"/>
              </w:rPr>
              <w:t xml:space="preserve">Failure to comply with any penalty imposed under the misbehaviour provisions. </w:t>
            </w:r>
          </w:p>
          <w:p w14:paraId="7404A74C" w14:textId="77777777" w:rsidR="008F4E11" w:rsidRPr="0003653F"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 xml:space="preserve">Smoking in any buildings or in any other designated non-smoking </w:t>
            </w:r>
            <w:proofErr w:type="gramStart"/>
            <w:r w:rsidRPr="0003653F">
              <w:rPr>
                <w:rFonts w:cs="Arial"/>
                <w:iCs/>
                <w:color w:val="000000"/>
                <w:lang w:val="en-NZ"/>
              </w:rPr>
              <w:t>area;</w:t>
            </w:r>
            <w:proofErr w:type="gramEnd"/>
          </w:p>
          <w:p w14:paraId="7192F2DC" w14:textId="0C7F0744" w:rsidR="008F4E11" w:rsidRPr="0003653F"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 xml:space="preserve">Failing to comply with penalties applied under the </w:t>
            </w:r>
            <w:r w:rsidR="00893B2F">
              <w:rPr>
                <w:rFonts w:cs="Arial"/>
                <w:i/>
                <w:iCs/>
                <w:color w:val="000000"/>
                <w:lang w:val="en-NZ"/>
              </w:rPr>
              <w:t>Learner</w:t>
            </w:r>
            <w:r w:rsidRPr="0003653F">
              <w:rPr>
                <w:rFonts w:cs="Arial"/>
                <w:i/>
                <w:iCs/>
                <w:color w:val="000000"/>
                <w:lang w:val="en-NZ"/>
              </w:rPr>
              <w:t xml:space="preserve"> </w:t>
            </w:r>
            <w:proofErr w:type="gramStart"/>
            <w:r w:rsidRPr="0003653F">
              <w:rPr>
                <w:rFonts w:cs="Arial"/>
                <w:i/>
                <w:iCs/>
                <w:color w:val="000000"/>
                <w:lang w:val="en-NZ"/>
              </w:rPr>
              <w:t>Regulations</w:t>
            </w:r>
            <w:r w:rsidRPr="0003653F">
              <w:rPr>
                <w:rFonts w:cs="Arial"/>
                <w:iCs/>
                <w:color w:val="000000"/>
                <w:lang w:val="en-NZ"/>
              </w:rPr>
              <w:t>;</w:t>
            </w:r>
            <w:proofErr w:type="gramEnd"/>
            <w:r w:rsidRPr="0003653F">
              <w:rPr>
                <w:rFonts w:cs="Arial"/>
                <w:iCs/>
                <w:color w:val="000000"/>
                <w:lang w:val="en-NZ"/>
              </w:rPr>
              <w:t xml:space="preserve"> </w:t>
            </w:r>
          </w:p>
          <w:p w14:paraId="2D7BE3A0" w14:textId="77777777" w:rsidR="008F4E11" w:rsidRPr="0003653F" w:rsidRDefault="00A07AF0"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Committing</w:t>
            </w:r>
            <w:r w:rsidR="008F4E11" w:rsidRPr="0003653F">
              <w:rPr>
                <w:rFonts w:cs="Arial"/>
                <w:iCs/>
                <w:color w:val="000000"/>
                <w:lang w:val="en-NZ"/>
              </w:rPr>
              <w:t xml:space="preserve"> misconduct during </w:t>
            </w:r>
            <w:proofErr w:type="gramStart"/>
            <w:r w:rsidR="008F4E11" w:rsidRPr="0003653F">
              <w:rPr>
                <w:rFonts w:cs="Arial"/>
                <w:iCs/>
                <w:color w:val="000000"/>
                <w:lang w:val="en-NZ"/>
              </w:rPr>
              <w:t>assessment;</w:t>
            </w:r>
            <w:proofErr w:type="gramEnd"/>
          </w:p>
          <w:p w14:paraId="04D834CA" w14:textId="77777777" w:rsidR="008F4E11" w:rsidRPr="0003653F" w:rsidRDefault="00A07AF0"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Committing</w:t>
            </w:r>
            <w:r w:rsidR="008F4E11" w:rsidRPr="0003653F">
              <w:rPr>
                <w:rFonts w:cs="Arial"/>
                <w:iCs/>
                <w:color w:val="000000"/>
                <w:lang w:val="en-NZ"/>
              </w:rPr>
              <w:t xml:space="preserve"> any criminal </w:t>
            </w:r>
            <w:proofErr w:type="gramStart"/>
            <w:r w:rsidR="008F4E11" w:rsidRPr="0003653F">
              <w:rPr>
                <w:rFonts w:cs="Arial"/>
                <w:iCs/>
                <w:color w:val="000000"/>
                <w:lang w:val="en-NZ"/>
              </w:rPr>
              <w:t>offence;</w:t>
            </w:r>
            <w:proofErr w:type="gramEnd"/>
          </w:p>
          <w:p w14:paraId="756DDDAE" w14:textId="2CBD8D51" w:rsidR="008F4E11" w:rsidRPr="0003653F"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Consuming, having in one’s possession, or controlling alcoholic liquor, drugs or any other mind-altering substance (other than those medically prescribed)</w:t>
            </w:r>
            <w:r w:rsidR="00B023D8">
              <w:rPr>
                <w:rFonts w:cs="Arial"/>
                <w:iCs/>
                <w:color w:val="000000"/>
                <w:lang w:val="en-NZ"/>
              </w:rPr>
              <w:t xml:space="preserve"> during any ATNZ </w:t>
            </w:r>
            <w:proofErr w:type="gramStart"/>
            <w:r w:rsidR="00B023D8">
              <w:rPr>
                <w:rFonts w:cs="Arial"/>
                <w:iCs/>
                <w:color w:val="000000"/>
                <w:lang w:val="en-NZ"/>
              </w:rPr>
              <w:t>activity</w:t>
            </w:r>
            <w:r w:rsidRPr="0003653F">
              <w:rPr>
                <w:rFonts w:cs="Arial"/>
                <w:iCs/>
                <w:color w:val="000000"/>
                <w:lang w:val="en-NZ"/>
              </w:rPr>
              <w:t>;</w:t>
            </w:r>
            <w:proofErr w:type="gramEnd"/>
          </w:p>
          <w:p w14:paraId="12DE542D" w14:textId="6F10234F" w:rsidR="008F4E11" w:rsidRPr="0003653F"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Possession of a firearm (including an airgun, paint ball gun etc) or weapon</w:t>
            </w:r>
            <w:r w:rsidR="000B2655">
              <w:rPr>
                <w:rFonts w:cs="Arial"/>
                <w:iCs/>
                <w:color w:val="000000"/>
                <w:lang w:val="en-NZ"/>
              </w:rPr>
              <w:t xml:space="preserve"> other than when checking this into secure storage with </w:t>
            </w:r>
            <w:r w:rsidR="00893B2F">
              <w:rPr>
                <w:rFonts w:cs="Arial"/>
                <w:iCs/>
                <w:color w:val="000000"/>
                <w:lang w:val="en-NZ"/>
              </w:rPr>
              <w:t>ATNZ</w:t>
            </w:r>
            <w:r w:rsidR="000B2655">
              <w:rPr>
                <w:rFonts w:cs="Arial"/>
                <w:iCs/>
                <w:color w:val="000000"/>
                <w:lang w:val="en-NZ"/>
              </w:rPr>
              <w:t xml:space="preserve"> staff or removing it from </w:t>
            </w:r>
            <w:proofErr w:type="gramStart"/>
            <w:r w:rsidR="000B2655">
              <w:rPr>
                <w:rFonts w:cs="Arial"/>
                <w:iCs/>
                <w:color w:val="000000"/>
                <w:lang w:val="en-NZ"/>
              </w:rPr>
              <w:t>storage</w:t>
            </w:r>
            <w:r w:rsidRPr="0003653F">
              <w:rPr>
                <w:rFonts w:cs="Arial"/>
                <w:iCs/>
                <w:color w:val="000000"/>
                <w:lang w:val="en-NZ"/>
              </w:rPr>
              <w:t>;</w:t>
            </w:r>
            <w:proofErr w:type="gramEnd"/>
          </w:p>
          <w:p w14:paraId="764FEE7A" w14:textId="589940D8" w:rsidR="008F4E11" w:rsidRPr="0003653F"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 xml:space="preserve">Acting or behaving in a way that is detrimental to the proper conduct, reputation or good order of </w:t>
            </w:r>
            <w:proofErr w:type="gramStart"/>
            <w:r w:rsidR="00893B2F">
              <w:rPr>
                <w:rFonts w:cs="Arial"/>
                <w:iCs/>
                <w:color w:val="000000"/>
                <w:lang w:val="en-NZ"/>
              </w:rPr>
              <w:t>ATNZ</w:t>
            </w:r>
            <w:r w:rsidRPr="0003653F">
              <w:rPr>
                <w:rFonts w:cs="Arial"/>
                <w:iCs/>
                <w:color w:val="000000"/>
                <w:lang w:val="en-NZ"/>
              </w:rPr>
              <w:t>;</w:t>
            </w:r>
            <w:proofErr w:type="gramEnd"/>
          </w:p>
          <w:p w14:paraId="737CBDFF" w14:textId="298830E9" w:rsidR="008F4E11" w:rsidRPr="0003653F"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 xml:space="preserve">Impairing, interfering with or otherwise prejudicing the studies, duties or activities of any other </w:t>
            </w:r>
            <w:r w:rsidR="00893B2F">
              <w:rPr>
                <w:rFonts w:cs="Arial"/>
                <w:iCs/>
                <w:color w:val="000000"/>
                <w:lang w:val="en-NZ"/>
              </w:rPr>
              <w:t>learner</w:t>
            </w:r>
            <w:r w:rsidRPr="0003653F">
              <w:rPr>
                <w:rFonts w:cs="Arial"/>
                <w:iCs/>
                <w:color w:val="000000"/>
                <w:lang w:val="en-NZ"/>
              </w:rPr>
              <w:t xml:space="preserve"> or staff member of </w:t>
            </w:r>
            <w:proofErr w:type="gramStart"/>
            <w:r w:rsidR="00893B2F">
              <w:rPr>
                <w:rFonts w:cs="Arial"/>
                <w:iCs/>
                <w:color w:val="000000"/>
                <w:lang w:val="en-NZ"/>
              </w:rPr>
              <w:t>ATNZ</w:t>
            </w:r>
            <w:r w:rsidRPr="0003653F">
              <w:rPr>
                <w:rFonts w:cs="Arial"/>
                <w:iCs/>
                <w:color w:val="000000"/>
                <w:lang w:val="en-NZ"/>
              </w:rPr>
              <w:t>;</w:t>
            </w:r>
            <w:proofErr w:type="gramEnd"/>
          </w:p>
          <w:p w14:paraId="1391CD43" w14:textId="77777777" w:rsidR="008F4E11" w:rsidRPr="0003653F"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 xml:space="preserve">Engaging in </w:t>
            </w:r>
            <w:r w:rsidR="000B2655">
              <w:rPr>
                <w:rFonts w:cs="Arial"/>
                <w:iCs/>
                <w:color w:val="000000"/>
                <w:lang w:val="en-NZ"/>
              </w:rPr>
              <w:t xml:space="preserve">repeated </w:t>
            </w:r>
            <w:r w:rsidRPr="0003653F">
              <w:rPr>
                <w:rFonts w:cs="Arial"/>
                <w:iCs/>
                <w:color w:val="000000"/>
                <w:lang w:val="en-NZ"/>
              </w:rPr>
              <w:t xml:space="preserve">misconduct over a period of </w:t>
            </w:r>
            <w:proofErr w:type="gramStart"/>
            <w:r w:rsidRPr="0003653F">
              <w:rPr>
                <w:rFonts w:cs="Arial"/>
                <w:iCs/>
                <w:color w:val="000000"/>
                <w:lang w:val="en-NZ"/>
              </w:rPr>
              <w:t>time;</w:t>
            </w:r>
            <w:proofErr w:type="gramEnd"/>
          </w:p>
          <w:p w14:paraId="5B7C2CEC" w14:textId="77777777" w:rsidR="008F4E11" w:rsidRPr="0003653F"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 xml:space="preserve">Failing to comply with any instruction relating to safety given by any person duly authorised to give such </w:t>
            </w:r>
            <w:proofErr w:type="gramStart"/>
            <w:r w:rsidRPr="0003653F">
              <w:rPr>
                <w:rFonts w:cs="Arial"/>
                <w:iCs/>
                <w:color w:val="000000"/>
                <w:lang w:val="en-NZ"/>
              </w:rPr>
              <w:t>instruction;</w:t>
            </w:r>
            <w:proofErr w:type="gramEnd"/>
          </w:p>
          <w:p w14:paraId="45D452AB" w14:textId="085C1BD7" w:rsidR="008F4E11" w:rsidRPr="0003653F"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Refusing to leave a class/</w:t>
            </w:r>
            <w:r w:rsidR="00893B2F">
              <w:rPr>
                <w:rFonts w:cs="Arial"/>
                <w:iCs/>
                <w:color w:val="000000"/>
                <w:lang w:val="en-NZ"/>
              </w:rPr>
              <w:t>learner</w:t>
            </w:r>
            <w:r w:rsidRPr="0003653F">
              <w:rPr>
                <w:rFonts w:cs="Arial"/>
                <w:iCs/>
                <w:color w:val="000000"/>
                <w:lang w:val="en-NZ"/>
              </w:rPr>
              <w:t xml:space="preserve"> activity when the staff member in charge </w:t>
            </w:r>
            <w:proofErr w:type="gramStart"/>
            <w:r w:rsidRPr="0003653F">
              <w:rPr>
                <w:rFonts w:cs="Arial"/>
                <w:iCs/>
                <w:color w:val="000000"/>
                <w:lang w:val="en-NZ"/>
              </w:rPr>
              <w:t>requests</w:t>
            </w:r>
            <w:proofErr w:type="gramEnd"/>
            <w:r w:rsidRPr="0003653F">
              <w:rPr>
                <w:rFonts w:cs="Arial"/>
                <w:iCs/>
                <w:color w:val="000000"/>
                <w:lang w:val="en-NZ"/>
              </w:rPr>
              <w:t xml:space="preserve"> they leave because the </w:t>
            </w:r>
            <w:r w:rsidR="00893B2F">
              <w:rPr>
                <w:rFonts w:cs="Arial"/>
                <w:iCs/>
                <w:color w:val="000000"/>
                <w:lang w:val="en-NZ"/>
              </w:rPr>
              <w:t>learner</w:t>
            </w:r>
            <w:r w:rsidRPr="0003653F">
              <w:rPr>
                <w:rFonts w:cs="Arial"/>
                <w:iCs/>
                <w:color w:val="000000"/>
                <w:lang w:val="en-NZ"/>
              </w:rPr>
              <w:t xml:space="preserve"> is:</w:t>
            </w:r>
          </w:p>
          <w:p w14:paraId="7D744A67" w14:textId="77777777" w:rsidR="008F4E11" w:rsidRPr="0003653F" w:rsidRDefault="008F4E11" w:rsidP="00566D87">
            <w:pPr>
              <w:pStyle w:val="ListParagraph"/>
              <w:numPr>
                <w:ilvl w:val="0"/>
                <w:numId w:val="24"/>
              </w:numPr>
              <w:ind w:left="1189"/>
              <w:contextualSpacing w:val="0"/>
              <w:rPr>
                <w:rFonts w:ascii="Arial" w:hAnsi="Arial" w:cs="Arial"/>
                <w:iCs/>
                <w:color w:val="000000"/>
                <w:sz w:val="20"/>
                <w:szCs w:val="20"/>
                <w:lang w:eastAsia="en-US"/>
              </w:rPr>
            </w:pPr>
            <w:r w:rsidRPr="0003653F">
              <w:rPr>
                <w:rFonts w:ascii="Arial" w:hAnsi="Arial" w:cs="Arial"/>
                <w:iCs/>
                <w:color w:val="000000"/>
                <w:sz w:val="20"/>
                <w:szCs w:val="20"/>
                <w:lang w:eastAsia="en-US"/>
              </w:rPr>
              <w:t>Acting or is likely to act without due regard to personal safety or the safety of others; or</w:t>
            </w:r>
          </w:p>
          <w:p w14:paraId="71573AEA" w14:textId="77777777" w:rsidR="008F4E11" w:rsidRPr="0003653F" w:rsidRDefault="008F4E11" w:rsidP="00566D87">
            <w:pPr>
              <w:pStyle w:val="ListParagraph"/>
              <w:numPr>
                <w:ilvl w:val="0"/>
                <w:numId w:val="24"/>
              </w:numPr>
              <w:spacing w:beforeLines="60" w:before="144"/>
              <w:ind w:left="1189"/>
              <w:rPr>
                <w:rFonts w:ascii="Arial" w:hAnsi="Arial" w:cs="Arial"/>
                <w:iCs/>
                <w:color w:val="000000"/>
                <w:sz w:val="20"/>
                <w:szCs w:val="20"/>
                <w:lang w:eastAsia="en-US"/>
              </w:rPr>
            </w:pPr>
            <w:r w:rsidRPr="0003653F">
              <w:rPr>
                <w:rFonts w:ascii="Arial" w:hAnsi="Arial" w:cs="Arial"/>
                <w:iCs/>
                <w:color w:val="000000"/>
                <w:sz w:val="20"/>
                <w:szCs w:val="20"/>
                <w:lang w:eastAsia="en-US"/>
              </w:rPr>
              <w:lastRenderedPageBreak/>
              <w:t xml:space="preserve">Acting or is likely to act to impede or interfere with normal teaching activities and/or learning of </w:t>
            </w:r>
            <w:proofErr w:type="gramStart"/>
            <w:r w:rsidRPr="0003653F">
              <w:rPr>
                <w:rFonts w:ascii="Arial" w:hAnsi="Arial" w:cs="Arial"/>
                <w:iCs/>
                <w:color w:val="000000"/>
                <w:sz w:val="20"/>
                <w:szCs w:val="20"/>
                <w:lang w:eastAsia="en-US"/>
              </w:rPr>
              <w:t>others;</w:t>
            </w:r>
            <w:proofErr w:type="gramEnd"/>
          </w:p>
          <w:p w14:paraId="3A7C199F" w14:textId="59F89EEA" w:rsidR="008F4E11" w:rsidRPr="0003653F" w:rsidRDefault="008F4E11" w:rsidP="00566D87">
            <w:pPr>
              <w:pStyle w:val="TableBullet1"/>
              <w:numPr>
                <w:ilvl w:val="0"/>
                <w:numId w:val="23"/>
              </w:numPr>
              <w:spacing w:beforeLines="30" w:before="72" w:after="0"/>
              <w:rPr>
                <w:rFonts w:cs="Arial"/>
                <w:iCs/>
                <w:color w:val="000000"/>
                <w:lang w:val="en-NZ"/>
              </w:rPr>
            </w:pPr>
            <w:r w:rsidRPr="0003653F">
              <w:rPr>
                <w:rFonts w:cs="Arial"/>
                <w:iCs/>
                <w:color w:val="000000"/>
                <w:lang w:val="en-NZ"/>
              </w:rPr>
              <w:t xml:space="preserve">Failing to pay such sum of money or complete an action imposed by way of restitution under the </w:t>
            </w:r>
            <w:r w:rsidR="00893B2F">
              <w:rPr>
                <w:rFonts w:cs="Arial"/>
                <w:i/>
                <w:iCs/>
                <w:color w:val="000000"/>
                <w:lang w:val="en-NZ"/>
              </w:rPr>
              <w:t>Learner</w:t>
            </w:r>
            <w:r w:rsidRPr="0003653F">
              <w:rPr>
                <w:rFonts w:cs="Arial"/>
                <w:i/>
                <w:iCs/>
                <w:color w:val="000000"/>
                <w:lang w:val="en-NZ"/>
              </w:rPr>
              <w:t xml:space="preserve"> Regulations</w:t>
            </w:r>
            <w:r w:rsidRPr="0003653F">
              <w:rPr>
                <w:rFonts w:cs="Arial"/>
                <w:iCs/>
                <w:color w:val="000000"/>
                <w:lang w:val="en-NZ"/>
              </w:rPr>
              <w:t>; and</w:t>
            </w:r>
          </w:p>
          <w:p w14:paraId="45EFB0EB" w14:textId="77777777" w:rsidR="00005457" w:rsidRPr="0003653F" w:rsidRDefault="008F4E11" w:rsidP="00566D87">
            <w:pPr>
              <w:pStyle w:val="TableBullet1"/>
              <w:numPr>
                <w:ilvl w:val="0"/>
                <w:numId w:val="23"/>
              </w:numPr>
              <w:spacing w:beforeLines="40" w:before="96" w:after="0"/>
              <w:rPr>
                <w:rFonts w:cs="Arial"/>
                <w:lang w:val="en-NZ"/>
              </w:rPr>
            </w:pPr>
            <w:r w:rsidRPr="0003653F">
              <w:rPr>
                <w:rFonts w:cs="Arial"/>
                <w:iCs/>
                <w:color w:val="000000"/>
                <w:lang w:val="en-NZ"/>
              </w:rPr>
              <w:t>Falsifying evidence or not disclosing required information regarding meeting the entry criteria for a programme/course.</w:t>
            </w:r>
          </w:p>
          <w:p w14:paraId="1762FE24" w14:textId="77777777" w:rsidR="00005457" w:rsidRPr="0003653F" w:rsidRDefault="00005457" w:rsidP="007D1F57">
            <w:pPr>
              <w:pStyle w:val="TableBullet1"/>
              <w:spacing w:before="0" w:after="0"/>
              <w:ind w:left="317"/>
              <w:rPr>
                <w:rFonts w:cs="Arial"/>
                <w:lang w:val="en-NZ"/>
              </w:rPr>
            </w:pPr>
          </w:p>
        </w:tc>
      </w:tr>
      <w:tr w:rsidR="008F4E11" w:rsidRPr="0003653F" w14:paraId="17E8EC27" w14:textId="77777777" w:rsidTr="007526FC">
        <w:tc>
          <w:tcPr>
            <w:tcW w:w="226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167868C2" w14:textId="77777777" w:rsidR="008F4E11" w:rsidRPr="0003653F" w:rsidRDefault="008F4E11" w:rsidP="007526FC">
            <w:pPr>
              <w:pStyle w:val="TableText"/>
              <w:spacing w:beforeLines="60" w:before="144" w:after="0"/>
              <w:rPr>
                <w:rFonts w:cs="Arial"/>
                <w:b/>
                <w:lang w:val="en-NZ"/>
              </w:rPr>
            </w:pPr>
            <w:r w:rsidRPr="0003653F">
              <w:rPr>
                <w:rFonts w:cs="Arial"/>
                <w:b/>
                <w:lang w:val="en-NZ"/>
              </w:rPr>
              <w:lastRenderedPageBreak/>
              <w:t>Misconduct during assessment</w:t>
            </w:r>
          </w:p>
        </w:tc>
        <w:tc>
          <w:tcPr>
            <w:tcW w:w="73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24579958" w14:textId="172FBD18" w:rsidR="008F4E11" w:rsidRPr="0003653F" w:rsidRDefault="008F4E11" w:rsidP="007526FC">
            <w:pPr>
              <w:pStyle w:val="TableText"/>
              <w:spacing w:beforeLines="60" w:before="144" w:after="0"/>
              <w:rPr>
                <w:rFonts w:cs="Arial"/>
                <w:iCs/>
                <w:color w:val="000000"/>
                <w:lang w:val="en-NZ"/>
              </w:rPr>
            </w:pPr>
            <w:r w:rsidRPr="0003653F">
              <w:rPr>
                <w:rFonts w:cs="Arial"/>
                <w:iCs/>
                <w:color w:val="000000"/>
                <w:lang w:val="en-NZ"/>
              </w:rPr>
              <w:t xml:space="preserve">An attempt by a </w:t>
            </w:r>
            <w:r w:rsidR="00893B2F">
              <w:rPr>
                <w:rFonts w:cs="Arial"/>
                <w:iCs/>
                <w:color w:val="000000"/>
                <w:lang w:val="en-NZ"/>
              </w:rPr>
              <w:t>learner</w:t>
            </w:r>
            <w:r w:rsidRPr="0003653F">
              <w:rPr>
                <w:rFonts w:cs="Arial"/>
                <w:iCs/>
                <w:color w:val="000000"/>
                <w:lang w:val="en-NZ"/>
              </w:rPr>
              <w:t xml:space="preserve"> to gain an unfair advantage in a summative assessment. It includes, but is not </w:t>
            </w:r>
            <w:r w:rsidR="00A07AF0" w:rsidRPr="0003653F">
              <w:rPr>
                <w:rFonts w:cs="Arial"/>
                <w:iCs/>
                <w:color w:val="000000"/>
                <w:lang w:val="en-NZ"/>
              </w:rPr>
              <w:t>limited</w:t>
            </w:r>
            <w:r w:rsidRPr="0003653F">
              <w:rPr>
                <w:rFonts w:cs="Arial"/>
                <w:iCs/>
                <w:color w:val="000000"/>
                <w:lang w:val="en-NZ"/>
              </w:rPr>
              <w:t xml:space="preserve"> to, the </w:t>
            </w:r>
            <w:r w:rsidR="00893B2F">
              <w:rPr>
                <w:rFonts w:cs="Arial"/>
                <w:iCs/>
                <w:color w:val="000000"/>
                <w:lang w:val="en-NZ"/>
              </w:rPr>
              <w:t>learner</w:t>
            </w:r>
            <w:r w:rsidRPr="0003653F">
              <w:rPr>
                <w:rFonts w:cs="Arial"/>
                <w:iCs/>
                <w:color w:val="000000"/>
                <w:lang w:val="en-NZ"/>
              </w:rPr>
              <w:t>:</w:t>
            </w:r>
          </w:p>
          <w:p w14:paraId="4FA287A8" w14:textId="54294FDB" w:rsidR="008F4E11" w:rsidRPr="0003653F" w:rsidRDefault="008F4E11" w:rsidP="00566D87">
            <w:pPr>
              <w:pStyle w:val="TableBullet1"/>
              <w:numPr>
                <w:ilvl w:val="0"/>
                <w:numId w:val="21"/>
              </w:numPr>
              <w:spacing w:beforeLines="40" w:before="96" w:after="0"/>
              <w:ind w:left="622" w:hanging="426"/>
              <w:rPr>
                <w:rFonts w:cs="Arial"/>
                <w:iCs/>
                <w:color w:val="000000"/>
                <w:lang w:val="en-NZ"/>
              </w:rPr>
            </w:pPr>
            <w:r w:rsidRPr="0003653F">
              <w:rPr>
                <w:rFonts w:cs="Arial"/>
                <w:iCs/>
                <w:color w:val="000000"/>
                <w:lang w:val="en-NZ"/>
              </w:rPr>
              <w:t xml:space="preserve">Copying information directly from another </w:t>
            </w:r>
            <w:r w:rsidR="00893B2F">
              <w:rPr>
                <w:rFonts w:cs="Arial"/>
                <w:iCs/>
                <w:color w:val="000000"/>
                <w:lang w:val="en-NZ"/>
              </w:rPr>
              <w:t>learner</w:t>
            </w:r>
            <w:r w:rsidRPr="0003653F">
              <w:rPr>
                <w:rFonts w:cs="Arial"/>
                <w:iCs/>
                <w:color w:val="000000"/>
                <w:lang w:val="en-NZ"/>
              </w:rPr>
              <w:t xml:space="preserve"> (current or past), either in whole or in part, with or without their </w:t>
            </w:r>
            <w:proofErr w:type="gramStart"/>
            <w:r w:rsidRPr="0003653F">
              <w:rPr>
                <w:rFonts w:cs="Arial"/>
                <w:iCs/>
                <w:color w:val="000000"/>
                <w:lang w:val="en-NZ"/>
              </w:rPr>
              <w:t>consent;</w:t>
            </w:r>
            <w:proofErr w:type="gramEnd"/>
          </w:p>
          <w:p w14:paraId="293B04D6" w14:textId="4A43F948" w:rsidR="008F4E11" w:rsidRPr="0003653F" w:rsidRDefault="008F4E11" w:rsidP="00566D87">
            <w:pPr>
              <w:pStyle w:val="TableBullet1"/>
              <w:numPr>
                <w:ilvl w:val="0"/>
                <w:numId w:val="21"/>
              </w:numPr>
              <w:spacing w:beforeLines="40" w:before="96" w:after="0"/>
              <w:ind w:left="622" w:hanging="426"/>
              <w:rPr>
                <w:rFonts w:cs="Arial"/>
                <w:iCs/>
                <w:color w:val="000000"/>
                <w:lang w:val="en-NZ"/>
              </w:rPr>
            </w:pPr>
            <w:r w:rsidRPr="0003653F">
              <w:rPr>
                <w:rFonts w:cs="Arial"/>
                <w:iCs/>
                <w:color w:val="000000"/>
                <w:lang w:val="en-NZ"/>
              </w:rPr>
              <w:t xml:space="preserve">Allowing another </w:t>
            </w:r>
            <w:r w:rsidR="00893B2F">
              <w:rPr>
                <w:rFonts w:cs="Arial"/>
                <w:iCs/>
                <w:color w:val="000000"/>
                <w:lang w:val="en-NZ"/>
              </w:rPr>
              <w:t>learner</w:t>
            </w:r>
            <w:r w:rsidRPr="0003653F">
              <w:rPr>
                <w:rFonts w:cs="Arial"/>
                <w:iCs/>
                <w:color w:val="000000"/>
                <w:lang w:val="en-NZ"/>
              </w:rPr>
              <w:t xml:space="preserve"> to copy their summative assessment (in part or whole</w:t>
            </w:r>
            <w:proofErr w:type="gramStart"/>
            <w:r w:rsidRPr="0003653F">
              <w:rPr>
                <w:rFonts w:cs="Arial"/>
                <w:iCs/>
                <w:color w:val="000000"/>
                <w:lang w:val="en-NZ"/>
              </w:rPr>
              <w:t>);</w:t>
            </w:r>
            <w:proofErr w:type="gramEnd"/>
          </w:p>
          <w:p w14:paraId="5835402F" w14:textId="3B795170" w:rsidR="008F4E11" w:rsidRPr="0003653F" w:rsidRDefault="008F4E11" w:rsidP="00566D87">
            <w:pPr>
              <w:pStyle w:val="TableBullet1"/>
              <w:numPr>
                <w:ilvl w:val="0"/>
                <w:numId w:val="21"/>
              </w:numPr>
              <w:spacing w:beforeLines="40" w:before="96" w:after="0"/>
              <w:ind w:left="622" w:hanging="426"/>
              <w:rPr>
                <w:rFonts w:cs="Arial"/>
                <w:iCs/>
                <w:color w:val="000000"/>
                <w:lang w:val="en-NZ"/>
              </w:rPr>
            </w:pPr>
            <w:r w:rsidRPr="0003653F">
              <w:rPr>
                <w:rFonts w:cs="Arial"/>
                <w:iCs/>
                <w:color w:val="000000"/>
                <w:lang w:val="en-NZ"/>
              </w:rPr>
              <w:t xml:space="preserve">Facilitating the electronic transfer, or giving soft copies, of their assessment work to other </w:t>
            </w:r>
            <w:proofErr w:type="gramStart"/>
            <w:r w:rsidR="00893B2F">
              <w:rPr>
                <w:rFonts w:cs="Arial"/>
                <w:iCs/>
                <w:color w:val="000000"/>
                <w:lang w:val="en-NZ"/>
              </w:rPr>
              <w:t>learner</w:t>
            </w:r>
            <w:r w:rsidRPr="0003653F">
              <w:rPr>
                <w:rFonts w:cs="Arial"/>
                <w:iCs/>
                <w:color w:val="000000"/>
                <w:lang w:val="en-NZ"/>
              </w:rPr>
              <w:t>s;</w:t>
            </w:r>
            <w:proofErr w:type="gramEnd"/>
          </w:p>
          <w:p w14:paraId="0DEC3EFE" w14:textId="0AE4F7E7" w:rsidR="008F4E11" w:rsidRPr="0003653F" w:rsidRDefault="008F4E11" w:rsidP="00566D87">
            <w:pPr>
              <w:pStyle w:val="TableBullet1"/>
              <w:numPr>
                <w:ilvl w:val="0"/>
                <w:numId w:val="21"/>
              </w:numPr>
              <w:spacing w:beforeLines="40" w:before="96" w:after="0"/>
              <w:ind w:left="622" w:hanging="426"/>
              <w:rPr>
                <w:rFonts w:cs="Arial"/>
                <w:iCs/>
                <w:color w:val="000000"/>
                <w:lang w:val="en-NZ"/>
              </w:rPr>
            </w:pPr>
            <w:r w:rsidRPr="0003653F">
              <w:rPr>
                <w:rFonts w:cs="Arial"/>
                <w:iCs/>
                <w:color w:val="000000"/>
                <w:lang w:val="en-NZ"/>
              </w:rPr>
              <w:t xml:space="preserve">Giving or lending a printed or hand-written copy of their assessment to another </w:t>
            </w:r>
            <w:proofErr w:type="gramStart"/>
            <w:r w:rsidR="00893B2F">
              <w:rPr>
                <w:rFonts w:cs="Arial"/>
                <w:iCs/>
                <w:color w:val="000000"/>
                <w:lang w:val="en-NZ"/>
              </w:rPr>
              <w:t>learner</w:t>
            </w:r>
            <w:r w:rsidRPr="0003653F">
              <w:rPr>
                <w:rFonts w:cs="Arial"/>
                <w:iCs/>
                <w:color w:val="000000"/>
                <w:lang w:val="en-NZ"/>
              </w:rPr>
              <w:t>;</w:t>
            </w:r>
            <w:proofErr w:type="gramEnd"/>
          </w:p>
          <w:p w14:paraId="3B3949AD" w14:textId="62E36B51" w:rsidR="008F4E11" w:rsidRPr="0003653F" w:rsidRDefault="008F4E11" w:rsidP="00566D87">
            <w:pPr>
              <w:pStyle w:val="TableBullet1"/>
              <w:numPr>
                <w:ilvl w:val="0"/>
                <w:numId w:val="21"/>
              </w:numPr>
              <w:spacing w:beforeLines="40" w:before="96" w:after="0"/>
              <w:ind w:left="622" w:hanging="426"/>
              <w:rPr>
                <w:rFonts w:cs="Arial"/>
                <w:iCs/>
                <w:color w:val="000000"/>
                <w:lang w:val="en-NZ"/>
              </w:rPr>
            </w:pPr>
            <w:r w:rsidRPr="0003653F">
              <w:rPr>
                <w:rFonts w:cs="Arial"/>
                <w:iCs/>
                <w:color w:val="000000"/>
                <w:lang w:val="en-NZ"/>
              </w:rPr>
              <w:t xml:space="preserve">Failing to exercise reasonable care and responsibility in protecting their work from being accessed by other </w:t>
            </w:r>
            <w:r w:rsidR="00893B2F">
              <w:rPr>
                <w:rFonts w:cs="Arial"/>
                <w:iCs/>
                <w:color w:val="000000"/>
                <w:lang w:val="en-NZ"/>
              </w:rPr>
              <w:t>learner</w:t>
            </w:r>
            <w:r w:rsidRPr="0003653F">
              <w:rPr>
                <w:rFonts w:cs="Arial"/>
                <w:iCs/>
                <w:color w:val="000000"/>
                <w:lang w:val="en-NZ"/>
              </w:rPr>
              <w:t xml:space="preserve">s.  This includes giving someone the opportunity to copy their </w:t>
            </w:r>
            <w:proofErr w:type="gramStart"/>
            <w:r w:rsidRPr="0003653F">
              <w:rPr>
                <w:rFonts w:cs="Arial"/>
                <w:iCs/>
                <w:color w:val="000000"/>
                <w:lang w:val="en-NZ"/>
              </w:rPr>
              <w:t>work;</w:t>
            </w:r>
            <w:proofErr w:type="gramEnd"/>
          </w:p>
          <w:p w14:paraId="1FCC3C8E" w14:textId="77777777" w:rsidR="008F4E11" w:rsidRPr="0003653F" w:rsidRDefault="008F4E11" w:rsidP="00566D87">
            <w:pPr>
              <w:pStyle w:val="TableBullet1"/>
              <w:numPr>
                <w:ilvl w:val="0"/>
                <w:numId w:val="21"/>
              </w:numPr>
              <w:spacing w:beforeLines="40" w:before="96" w:after="0"/>
              <w:ind w:left="622" w:hanging="426"/>
              <w:rPr>
                <w:rFonts w:cs="Arial"/>
                <w:iCs/>
                <w:color w:val="000000"/>
                <w:lang w:val="en-NZ"/>
              </w:rPr>
            </w:pPr>
            <w:r w:rsidRPr="0003653F">
              <w:rPr>
                <w:rFonts w:cs="Arial"/>
                <w:iCs/>
                <w:color w:val="000000"/>
                <w:lang w:val="en-NZ"/>
              </w:rPr>
              <w:t xml:space="preserve">Using or having access to prohibited resources or reference material, written or electronic, in a test or </w:t>
            </w:r>
            <w:proofErr w:type="gramStart"/>
            <w:r w:rsidRPr="0003653F">
              <w:rPr>
                <w:rFonts w:cs="Arial"/>
                <w:iCs/>
                <w:color w:val="000000"/>
                <w:lang w:val="en-NZ"/>
              </w:rPr>
              <w:t>examination;</w:t>
            </w:r>
            <w:proofErr w:type="gramEnd"/>
          </w:p>
          <w:p w14:paraId="793BCABB" w14:textId="0CDE997C" w:rsidR="008F4E11" w:rsidRPr="0003653F" w:rsidRDefault="008F4E11" w:rsidP="00566D87">
            <w:pPr>
              <w:pStyle w:val="TableBullet1"/>
              <w:numPr>
                <w:ilvl w:val="0"/>
                <w:numId w:val="21"/>
              </w:numPr>
              <w:spacing w:beforeLines="40" w:before="96" w:after="0"/>
              <w:ind w:left="622" w:hanging="426"/>
              <w:rPr>
                <w:rFonts w:cs="Arial"/>
                <w:iCs/>
                <w:color w:val="000000"/>
                <w:lang w:val="en-NZ"/>
              </w:rPr>
            </w:pPr>
            <w:r w:rsidRPr="0003653F">
              <w:rPr>
                <w:rFonts w:cs="Arial"/>
                <w:iCs/>
                <w:color w:val="000000"/>
                <w:lang w:val="en-NZ"/>
              </w:rPr>
              <w:t xml:space="preserve">Communicating with another </w:t>
            </w:r>
            <w:r w:rsidR="00893B2F">
              <w:rPr>
                <w:rFonts w:cs="Arial"/>
                <w:iCs/>
                <w:color w:val="000000"/>
                <w:lang w:val="en-NZ"/>
              </w:rPr>
              <w:t>learner</w:t>
            </w:r>
            <w:r w:rsidRPr="0003653F">
              <w:rPr>
                <w:rFonts w:cs="Arial"/>
                <w:iCs/>
                <w:color w:val="000000"/>
                <w:lang w:val="en-NZ"/>
              </w:rPr>
              <w:t xml:space="preserve"> in a test/examination to transfer information by way of electronic, voice, visual or other </w:t>
            </w:r>
            <w:proofErr w:type="gramStart"/>
            <w:r w:rsidRPr="0003653F">
              <w:rPr>
                <w:rFonts w:cs="Arial"/>
                <w:iCs/>
                <w:color w:val="000000"/>
                <w:lang w:val="en-NZ"/>
              </w:rPr>
              <w:t>means;</w:t>
            </w:r>
            <w:proofErr w:type="gramEnd"/>
          </w:p>
          <w:p w14:paraId="05DD5C27" w14:textId="77777777" w:rsidR="008F4E11" w:rsidRPr="0003653F" w:rsidRDefault="008F4E11" w:rsidP="00566D87">
            <w:pPr>
              <w:pStyle w:val="TableBullet1"/>
              <w:numPr>
                <w:ilvl w:val="0"/>
                <w:numId w:val="21"/>
              </w:numPr>
              <w:spacing w:beforeLines="40" w:before="96" w:after="0"/>
              <w:ind w:left="622" w:hanging="426"/>
              <w:rPr>
                <w:rFonts w:cs="Arial"/>
                <w:iCs/>
                <w:color w:val="000000"/>
                <w:lang w:val="en-NZ"/>
              </w:rPr>
            </w:pPr>
            <w:r w:rsidRPr="0003653F">
              <w:rPr>
                <w:rFonts w:cs="Arial"/>
                <w:iCs/>
                <w:color w:val="000000"/>
                <w:lang w:val="en-NZ"/>
              </w:rPr>
              <w:t xml:space="preserve">Accessing or taking test or examination question papers without </w:t>
            </w:r>
            <w:proofErr w:type="gramStart"/>
            <w:r w:rsidRPr="0003653F">
              <w:rPr>
                <w:rFonts w:cs="Arial"/>
                <w:iCs/>
                <w:color w:val="000000"/>
                <w:lang w:val="en-NZ"/>
              </w:rPr>
              <w:t>approval;</w:t>
            </w:r>
            <w:proofErr w:type="gramEnd"/>
          </w:p>
          <w:p w14:paraId="1824ED28" w14:textId="77777777" w:rsidR="008F4E11" w:rsidRPr="0003653F" w:rsidRDefault="008F4E11" w:rsidP="00566D87">
            <w:pPr>
              <w:pStyle w:val="TableBullet1"/>
              <w:numPr>
                <w:ilvl w:val="0"/>
                <w:numId w:val="21"/>
              </w:numPr>
              <w:spacing w:beforeLines="40" w:before="96" w:after="0"/>
              <w:ind w:left="622" w:hanging="426"/>
              <w:rPr>
                <w:rFonts w:cs="Arial"/>
                <w:iCs/>
                <w:color w:val="000000"/>
                <w:lang w:val="en-NZ"/>
              </w:rPr>
            </w:pPr>
            <w:r w:rsidRPr="0003653F">
              <w:rPr>
                <w:rFonts w:cs="Arial"/>
                <w:iCs/>
                <w:color w:val="000000"/>
                <w:lang w:val="en-NZ"/>
              </w:rPr>
              <w:t xml:space="preserve">Failing to follow the invigilator’s </w:t>
            </w:r>
            <w:proofErr w:type="gramStart"/>
            <w:r w:rsidRPr="0003653F">
              <w:rPr>
                <w:rFonts w:cs="Arial"/>
                <w:iCs/>
                <w:color w:val="000000"/>
                <w:lang w:val="en-NZ"/>
              </w:rPr>
              <w:t>instructions;</w:t>
            </w:r>
            <w:proofErr w:type="gramEnd"/>
          </w:p>
          <w:p w14:paraId="5BAAD8B8" w14:textId="77777777" w:rsidR="008F4E11" w:rsidRPr="0003653F" w:rsidRDefault="008F4E11" w:rsidP="00566D87">
            <w:pPr>
              <w:pStyle w:val="TableBullet1"/>
              <w:numPr>
                <w:ilvl w:val="0"/>
                <w:numId w:val="21"/>
              </w:numPr>
              <w:spacing w:beforeLines="40" w:before="96" w:after="0"/>
              <w:ind w:left="622" w:hanging="426"/>
              <w:rPr>
                <w:rFonts w:cs="Arial"/>
                <w:iCs/>
                <w:color w:val="000000"/>
                <w:lang w:val="en-NZ"/>
              </w:rPr>
            </w:pPr>
            <w:r w:rsidRPr="0003653F">
              <w:rPr>
                <w:rFonts w:cs="Arial"/>
                <w:iCs/>
                <w:color w:val="000000"/>
                <w:lang w:val="en-NZ"/>
              </w:rPr>
              <w:t>Plagiarism (</w:t>
            </w:r>
            <w:proofErr w:type="gramStart"/>
            <w:r w:rsidRPr="0003653F">
              <w:rPr>
                <w:rFonts w:cs="Arial"/>
                <w:iCs/>
                <w:color w:val="000000"/>
                <w:lang w:val="en-NZ"/>
              </w:rPr>
              <w:t>i.e.</w:t>
            </w:r>
            <w:proofErr w:type="gramEnd"/>
            <w:r w:rsidRPr="0003653F">
              <w:rPr>
                <w:rFonts w:cs="Arial"/>
                <w:iCs/>
                <w:color w:val="000000"/>
                <w:lang w:val="en-NZ"/>
              </w:rPr>
              <w:t xml:space="preserve"> using the work of another without indicating that the ideas are not their own), including: </w:t>
            </w:r>
          </w:p>
          <w:p w14:paraId="4448E5BB" w14:textId="77777777" w:rsidR="008F4E11" w:rsidRPr="0003653F" w:rsidRDefault="008F4E11" w:rsidP="00566D87">
            <w:pPr>
              <w:pStyle w:val="ListParagraph"/>
              <w:numPr>
                <w:ilvl w:val="0"/>
                <w:numId w:val="22"/>
              </w:numPr>
              <w:ind w:left="905" w:hanging="98"/>
              <w:contextualSpacing w:val="0"/>
              <w:rPr>
                <w:rFonts w:ascii="Arial" w:hAnsi="Arial" w:cs="Arial"/>
                <w:sz w:val="20"/>
                <w:szCs w:val="20"/>
              </w:rPr>
            </w:pPr>
            <w:r w:rsidRPr="0003653F">
              <w:rPr>
                <w:rFonts w:ascii="Arial" w:hAnsi="Arial" w:cs="Arial"/>
                <w:sz w:val="20"/>
                <w:szCs w:val="20"/>
              </w:rPr>
              <w:t xml:space="preserve">Paraphrasing information without referencing the </w:t>
            </w:r>
            <w:proofErr w:type="gramStart"/>
            <w:r w:rsidRPr="0003653F">
              <w:rPr>
                <w:rFonts w:ascii="Arial" w:hAnsi="Arial" w:cs="Arial"/>
                <w:sz w:val="20"/>
                <w:szCs w:val="20"/>
              </w:rPr>
              <w:t>source;</w:t>
            </w:r>
            <w:proofErr w:type="gramEnd"/>
          </w:p>
          <w:p w14:paraId="3BA21D70" w14:textId="77777777" w:rsidR="008F4E11" w:rsidRPr="0003653F" w:rsidRDefault="008F4E11" w:rsidP="00566D87">
            <w:pPr>
              <w:pStyle w:val="ListParagraph"/>
              <w:numPr>
                <w:ilvl w:val="0"/>
                <w:numId w:val="22"/>
              </w:numPr>
              <w:ind w:left="905" w:hanging="98"/>
              <w:contextualSpacing w:val="0"/>
              <w:rPr>
                <w:rFonts w:ascii="Arial" w:hAnsi="Arial" w:cs="Arial"/>
                <w:sz w:val="20"/>
                <w:szCs w:val="20"/>
              </w:rPr>
            </w:pPr>
            <w:r w:rsidRPr="0003653F">
              <w:rPr>
                <w:rFonts w:ascii="Arial" w:hAnsi="Arial" w:cs="Arial"/>
                <w:sz w:val="20"/>
                <w:szCs w:val="20"/>
              </w:rPr>
              <w:t xml:space="preserve">Copying information directly without referencing the </w:t>
            </w:r>
            <w:proofErr w:type="gramStart"/>
            <w:r w:rsidRPr="0003653F">
              <w:rPr>
                <w:rFonts w:ascii="Arial" w:hAnsi="Arial" w:cs="Arial"/>
                <w:sz w:val="20"/>
                <w:szCs w:val="20"/>
              </w:rPr>
              <w:t>source;</w:t>
            </w:r>
            <w:proofErr w:type="gramEnd"/>
          </w:p>
          <w:p w14:paraId="555017BF" w14:textId="77777777" w:rsidR="008F4E11" w:rsidRPr="0003653F" w:rsidRDefault="008F4E11" w:rsidP="00566D87">
            <w:pPr>
              <w:pStyle w:val="ListParagraph"/>
              <w:numPr>
                <w:ilvl w:val="0"/>
                <w:numId w:val="22"/>
              </w:numPr>
              <w:ind w:left="905" w:hanging="98"/>
              <w:contextualSpacing w:val="0"/>
              <w:rPr>
                <w:rFonts w:ascii="Arial" w:hAnsi="Arial" w:cs="Arial"/>
                <w:sz w:val="20"/>
                <w:szCs w:val="20"/>
              </w:rPr>
            </w:pPr>
            <w:r w:rsidRPr="0003653F">
              <w:rPr>
                <w:rFonts w:ascii="Arial" w:hAnsi="Arial" w:cs="Arial"/>
                <w:sz w:val="20"/>
                <w:szCs w:val="20"/>
              </w:rPr>
              <w:t xml:space="preserve">Falsifying the results of their </w:t>
            </w:r>
            <w:proofErr w:type="gramStart"/>
            <w:r w:rsidRPr="0003653F">
              <w:rPr>
                <w:rFonts w:ascii="Arial" w:hAnsi="Arial" w:cs="Arial"/>
                <w:sz w:val="20"/>
                <w:szCs w:val="20"/>
              </w:rPr>
              <w:t>research;</w:t>
            </w:r>
            <w:proofErr w:type="gramEnd"/>
          </w:p>
          <w:p w14:paraId="7CABCDDA" w14:textId="77777777" w:rsidR="008F4E11" w:rsidRPr="0003653F" w:rsidRDefault="0050562A" w:rsidP="00566D87">
            <w:pPr>
              <w:pStyle w:val="ListParagraph"/>
              <w:numPr>
                <w:ilvl w:val="0"/>
                <w:numId w:val="22"/>
              </w:numPr>
              <w:ind w:left="1330" w:hanging="425"/>
              <w:contextualSpacing w:val="0"/>
              <w:rPr>
                <w:rFonts w:ascii="Arial" w:hAnsi="Arial" w:cs="Arial"/>
                <w:sz w:val="20"/>
                <w:szCs w:val="20"/>
              </w:rPr>
            </w:pPr>
            <w:r>
              <w:rPr>
                <w:rFonts w:ascii="Arial" w:hAnsi="Arial" w:cs="Arial"/>
                <w:sz w:val="20"/>
                <w:szCs w:val="20"/>
              </w:rPr>
              <w:t xml:space="preserve">  </w:t>
            </w:r>
            <w:r w:rsidR="008F4E11" w:rsidRPr="0003653F">
              <w:rPr>
                <w:rFonts w:ascii="Arial" w:hAnsi="Arial" w:cs="Arial"/>
                <w:sz w:val="20"/>
                <w:szCs w:val="20"/>
              </w:rPr>
              <w:t xml:space="preserve">Working together on a summative assessment when it should </w:t>
            </w:r>
            <w:r>
              <w:rPr>
                <w:rFonts w:ascii="Arial" w:hAnsi="Arial" w:cs="Arial"/>
                <w:sz w:val="20"/>
                <w:szCs w:val="20"/>
              </w:rPr>
              <w:t xml:space="preserve">    </w:t>
            </w:r>
            <w:r w:rsidR="008F4E11" w:rsidRPr="0003653F">
              <w:rPr>
                <w:rFonts w:ascii="Arial" w:hAnsi="Arial" w:cs="Arial"/>
                <w:sz w:val="20"/>
                <w:szCs w:val="20"/>
              </w:rPr>
              <w:t xml:space="preserve">be individual </w:t>
            </w:r>
            <w:proofErr w:type="gramStart"/>
            <w:r w:rsidR="008F4E11" w:rsidRPr="0003653F">
              <w:rPr>
                <w:rFonts w:ascii="Arial" w:hAnsi="Arial" w:cs="Arial"/>
                <w:sz w:val="20"/>
                <w:szCs w:val="20"/>
              </w:rPr>
              <w:t>work;</w:t>
            </w:r>
            <w:proofErr w:type="gramEnd"/>
            <w:r w:rsidR="008F4E11" w:rsidRPr="0003653F">
              <w:rPr>
                <w:rFonts w:ascii="Arial" w:hAnsi="Arial" w:cs="Arial"/>
                <w:sz w:val="20"/>
                <w:szCs w:val="20"/>
              </w:rPr>
              <w:t xml:space="preserve"> </w:t>
            </w:r>
          </w:p>
          <w:p w14:paraId="660531BC" w14:textId="77777777" w:rsidR="008F4E11" w:rsidRPr="0003653F" w:rsidRDefault="008F4E11" w:rsidP="00566D87">
            <w:pPr>
              <w:pStyle w:val="TableBullet1"/>
              <w:numPr>
                <w:ilvl w:val="0"/>
                <w:numId w:val="21"/>
              </w:numPr>
              <w:spacing w:beforeLines="40" w:before="96" w:after="0"/>
              <w:ind w:left="622" w:hanging="426"/>
              <w:rPr>
                <w:rFonts w:cs="Arial"/>
              </w:rPr>
            </w:pPr>
            <w:r w:rsidRPr="0003653F">
              <w:rPr>
                <w:rFonts w:cs="Arial"/>
              </w:rPr>
              <w:t xml:space="preserve">Presenting someone else’s work as one’s own for summative </w:t>
            </w:r>
            <w:proofErr w:type="gramStart"/>
            <w:r w:rsidRPr="0003653F">
              <w:rPr>
                <w:rFonts w:cs="Arial"/>
              </w:rPr>
              <w:t>assessment;</w:t>
            </w:r>
            <w:proofErr w:type="gramEnd"/>
          </w:p>
          <w:p w14:paraId="7051D7C7" w14:textId="77777777" w:rsidR="008F4E11" w:rsidRPr="0003653F" w:rsidRDefault="008F4E11" w:rsidP="00566D87">
            <w:pPr>
              <w:pStyle w:val="TableBullet1"/>
              <w:numPr>
                <w:ilvl w:val="0"/>
                <w:numId w:val="21"/>
              </w:numPr>
              <w:spacing w:beforeLines="40" w:before="96" w:after="0"/>
              <w:ind w:left="622" w:hanging="426"/>
              <w:rPr>
                <w:rFonts w:cs="Arial"/>
              </w:rPr>
            </w:pPr>
            <w:r w:rsidRPr="0003653F">
              <w:rPr>
                <w:rFonts w:cs="Arial"/>
              </w:rPr>
              <w:t xml:space="preserve">Any action that is aimed to defeat the purpose of the summative </w:t>
            </w:r>
            <w:proofErr w:type="gramStart"/>
            <w:r w:rsidRPr="0003653F">
              <w:rPr>
                <w:rFonts w:cs="Arial"/>
              </w:rPr>
              <w:t>assessment;</w:t>
            </w:r>
            <w:proofErr w:type="gramEnd"/>
            <w:r w:rsidRPr="0003653F">
              <w:rPr>
                <w:rFonts w:cs="Arial"/>
              </w:rPr>
              <w:t xml:space="preserve"> </w:t>
            </w:r>
          </w:p>
          <w:p w14:paraId="0ECFEF5F" w14:textId="77777777" w:rsidR="008F4E11" w:rsidRPr="0003653F" w:rsidRDefault="008F4E11" w:rsidP="00566D87">
            <w:pPr>
              <w:pStyle w:val="TableBullet1"/>
              <w:numPr>
                <w:ilvl w:val="0"/>
                <w:numId w:val="21"/>
              </w:numPr>
              <w:spacing w:beforeLines="40" w:before="96" w:after="0"/>
              <w:ind w:left="622" w:hanging="426"/>
              <w:rPr>
                <w:rFonts w:cs="Arial"/>
              </w:rPr>
            </w:pPr>
            <w:r w:rsidRPr="0003653F">
              <w:rPr>
                <w:rFonts w:cs="Arial"/>
              </w:rPr>
              <w:t xml:space="preserve">Breaching any rule or regulation relating to summative </w:t>
            </w:r>
            <w:proofErr w:type="gramStart"/>
            <w:r w:rsidRPr="0003653F">
              <w:rPr>
                <w:rFonts w:cs="Arial"/>
              </w:rPr>
              <w:t>assessment;</w:t>
            </w:r>
            <w:proofErr w:type="gramEnd"/>
            <w:r w:rsidRPr="0003653F">
              <w:rPr>
                <w:rFonts w:cs="Arial"/>
              </w:rPr>
              <w:t xml:space="preserve"> </w:t>
            </w:r>
          </w:p>
          <w:p w14:paraId="5A1ECF93" w14:textId="076E4790" w:rsidR="008F4E11" w:rsidRPr="0003653F" w:rsidRDefault="008F4E11" w:rsidP="00566D87">
            <w:pPr>
              <w:pStyle w:val="TableBullet1"/>
              <w:numPr>
                <w:ilvl w:val="0"/>
                <w:numId w:val="21"/>
              </w:numPr>
              <w:spacing w:beforeLines="40" w:before="96" w:after="0"/>
              <w:ind w:left="622" w:hanging="426"/>
              <w:rPr>
                <w:rFonts w:cs="Arial"/>
              </w:rPr>
            </w:pPr>
            <w:r w:rsidRPr="0003653F">
              <w:rPr>
                <w:rFonts w:cs="Arial"/>
              </w:rPr>
              <w:t xml:space="preserve">Academic or research practices that bring or are likely to bring </w:t>
            </w:r>
            <w:r w:rsidR="00893B2F">
              <w:rPr>
                <w:rFonts w:cs="Arial"/>
              </w:rPr>
              <w:t>ATNZ</w:t>
            </w:r>
            <w:r w:rsidRPr="0003653F">
              <w:rPr>
                <w:rFonts w:cs="Arial"/>
              </w:rPr>
              <w:t xml:space="preserve"> into disrepute; and</w:t>
            </w:r>
          </w:p>
          <w:p w14:paraId="6B0E1FDA" w14:textId="77777777" w:rsidR="008F4E11" w:rsidRPr="0003653F" w:rsidRDefault="008F4E11" w:rsidP="00566D87">
            <w:pPr>
              <w:pStyle w:val="TableBullet1"/>
              <w:numPr>
                <w:ilvl w:val="0"/>
                <w:numId w:val="21"/>
              </w:numPr>
              <w:spacing w:beforeLines="40" w:before="96" w:after="0"/>
              <w:ind w:left="622" w:hanging="426"/>
              <w:rPr>
                <w:rFonts w:cs="Arial"/>
                <w:iCs/>
                <w:color w:val="000000"/>
                <w:lang w:val="en-NZ"/>
              </w:rPr>
            </w:pPr>
            <w:r w:rsidRPr="0003653F">
              <w:rPr>
                <w:rFonts w:cs="Arial"/>
                <w:iCs/>
                <w:color w:val="000000"/>
                <w:lang w:val="en-NZ"/>
              </w:rPr>
              <w:t>Misrepresenting a disability, temporary illness or injury or exceptional circumstances beyond one’s control and then seeking special conditions or an aegrotat pass.</w:t>
            </w:r>
          </w:p>
        </w:tc>
      </w:tr>
      <w:tr w:rsidR="008F4E11" w:rsidRPr="0003653F" w14:paraId="299D0D1B" w14:textId="77777777" w:rsidTr="007526FC">
        <w:tc>
          <w:tcPr>
            <w:tcW w:w="2268" w:type="dxa"/>
            <w:shd w:val="clear" w:color="auto" w:fill="auto"/>
          </w:tcPr>
          <w:p w14:paraId="5DB854AE" w14:textId="77777777" w:rsidR="008F4E11" w:rsidRPr="0003653F" w:rsidRDefault="008F4E11" w:rsidP="007526FC">
            <w:pPr>
              <w:pStyle w:val="TableText"/>
              <w:spacing w:beforeLines="60" w:before="144" w:after="0"/>
              <w:rPr>
                <w:rFonts w:cs="Arial"/>
                <w:b/>
                <w:lang w:val="en-NZ"/>
              </w:rPr>
            </w:pPr>
            <w:r w:rsidRPr="0003653F">
              <w:rPr>
                <w:rFonts w:cs="Arial"/>
                <w:b/>
                <w:lang w:val="en-NZ"/>
              </w:rPr>
              <w:t>Moderation</w:t>
            </w:r>
          </w:p>
        </w:tc>
        <w:tc>
          <w:tcPr>
            <w:tcW w:w="7337" w:type="dxa"/>
            <w:shd w:val="clear" w:color="auto" w:fill="auto"/>
          </w:tcPr>
          <w:p w14:paraId="0395801D" w14:textId="77777777" w:rsidR="008F4E11" w:rsidRPr="0003653F" w:rsidRDefault="008F4E11" w:rsidP="007526FC">
            <w:pPr>
              <w:pStyle w:val="TableText"/>
              <w:spacing w:beforeLines="60" w:before="144"/>
              <w:rPr>
                <w:rFonts w:cs="Arial"/>
                <w:lang w:val="en-NZ"/>
              </w:rPr>
            </w:pPr>
            <w:r w:rsidRPr="0003653F">
              <w:rPr>
                <w:rFonts w:cs="Arial"/>
                <w:lang w:val="en-NZ"/>
              </w:rPr>
              <w:t xml:space="preserve">The process of ensuring that summative assessment activities are fair, valid, and consistent with the required standard across </w:t>
            </w:r>
            <w:proofErr w:type="gramStart"/>
            <w:r w:rsidRPr="0003653F">
              <w:rPr>
                <w:rFonts w:cs="Arial"/>
                <w:lang w:val="en-NZ"/>
              </w:rPr>
              <w:t>a number of</w:t>
            </w:r>
            <w:proofErr w:type="gramEnd"/>
            <w:r w:rsidRPr="0003653F">
              <w:rPr>
                <w:rFonts w:cs="Arial"/>
                <w:lang w:val="en-NZ"/>
              </w:rPr>
              <w:t xml:space="preserve"> assessors or assessing organisations. </w:t>
            </w:r>
          </w:p>
          <w:p w14:paraId="19609767" w14:textId="77777777" w:rsidR="008F4E11" w:rsidRPr="0003653F" w:rsidRDefault="008F4E11" w:rsidP="007D1F57">
            <w:pPr>
              <w:rPr>
                <w:rFonts w:ascii="Arial" w:hAnsi="Arial" w:cs="Arial"/>
                <w:sz w:val="20"/>
                <w:szCs w:val="20"/>
              </w:rPr>
            </w:pPr>
          </w:p>
        </w:tc>
      </w:tr>
      <w:tr w:rsidR="008F4E11" w:rsidRPr="0003653F" w14:paraId="2C518190" w14:textId="77777777" w:rsidTr="007526FC">
        <w:tc>
          <w:tcPr>
            <w:tcW w:w="2268" w:type="dxa"/>
            <w:shd w:val="clear" w:color="auto" w:fill="auto"/>
          </w:tcPr>
          <w:p w14:paraId="090C919D" w14:textId="77777777" w:rsidR="008F4E11" w:rsidRPr="0003653F" w:rsidRDefault="008F4E11" w:rsidP="007526FC">
            <w:pPr>
              <w:pStyle w:val="TableText"/>
              <w:spacing w:beforeLines="60" w:before="144" w:after="0"/>
              <w:rPr>
                <w:rFonts w:cs="Arial"/>
                <w:b/>
                <w:lang w:val="en-NZ"/>
              </w:rPr>
            </w:pPr>
            <w:r w:rsidRPr="0003653F">
              <w:rPr>
                <w:rFonts w:cs="Arial"/>
                <w:b/>
                <w:lang w:val="en-NZ"/>
              </w:rPr>
              <w:lastRenderedPageBreak/>
              <w:t>Module</w:t>
            </w:r>
          </w:p>
        </w:tc>
        <w:tc>
          <w:tcPr>
            <w:tcW w:w="7337" w:type="dxa"/>
            <w:shd w:val="clear" w:color="auto" w:fill="auto"/>
          </w:tcPr>
          <w:p w14:paraId="423AEE7B" w14:textId="77777777" w:rsidR="008F4E11" w:rsidRPr="0003653F" w:rsidRDefault="008F4E11" w:rsidP="007526FC">
            <w:pPr>
              <w:pStyle w:val="TableText"/>
              <w:spacing w:beforeLines="60" w:before="144" w:after="0"/>
              <w:rPr>
                <w:rFonts w:cs="Arial"/>
                <w:lang w:val="en-NZ"/>
              </w:rPr>
            </w:pPr>
            <w:r w:rsidRPr="0003653F">
              <w:rPr>
                <w:rFonts w:cs="Arial"/>
                <w:lang w:val="en-NZ"/>
              </w:rPr>
              <w:t>Refer course.</w:t>
            </w:r>
          </w:p>
          <w:p w14:paraId="69DBB23B" w14:textId="77777777" w:rsidR="008F4E11" w:rsidRPr="0003653F" w:rsidRDefault="008F4E11" w:rsidP="007526FC">
            <w:pPr>
              <w:pStyle w:val="TableText"/>
              <w:spacing w:before="0" w:after="0"/>
              <w:ind w:right="245"/>
              <w:rPr>
                <w:rFonts w:cs="Arial"/>
                <w:lang w:val="en-NZ"/>
              </w:rPr>
            </w:pPr>
          </w:p>
        </w:tc>
      </w:tr>
      <w:tr w:rsidR="008F4E11" w:rsidRPr="0003653F" w14:paraId="6146E267" w14:textId="77777777" w:rsidTr="007526FC">
        <w:tc>
          <w:tcPr>
            <w:tcW w:w="2268" w:type="dxa"/>
            <w:shd w:val="clear" w:color="auto" w:fill="auto"/>
          </w:tcPr>
          <w:p w14:paraId="4DE43C04" w14:textId="77777777" w:rsidR="008F4E11" w:rsidRPr="0003653F" w:rsidRDefault="008F4E11" w:rsidP="007526FC">
            <w:pPr>
              <w:pStyle w:val="TableText"/>
              <w:spacing w:beforeLines="60" w:before="144" w:after="0"/>
              <w:rPr>
                <w:rFonts w:cs="Arial"/>
                <w:b/>
                <w:lang w:val="en-NZ"/>
              </w:rPr>
            </w:pPr>
            <w:r w:rsidRPr="0003653F">
              <w:rPr>
                <w:rFonts w:cs="Arial"/>
                <w:b/>
                <w:lang w:val="en-NZ"/>
              </w:rPr>
              <w:t>Natural justice</w:t>
            </w:r>
          </w:p>
        </w:tc>
        <w:tc>
          <w:tcPr>
            <w:tcW w:w="7337" w:type="dxa"/>
            <w:shd w:val="clear" w:color="auto" w:fill="auto"/>
          </w:tcPr>
          <w:p w14:paraId="47DF42F7" w14:textId="77777777" w:rsidR="008F4E11" w:rsidRPr="0003653F" w:rsidRDefault="008F4E11" w:rsidP="007526FC">
            <w:pPr>
              <w:pStyle w:val="TableText"/>
              <w:spacing w:beforeLines="60" w:before="144" w:after="0"/>
              <w:rPr>
                <w:rFonts w:cs="Arial"/>
                <w:lang w:val="en-NZ"/>
              </w:rPr>
            </w:pPr>
            <w:r w:rsidRPr="0003653F">
              <w:rPr>
                <w:rFonts w:cs="Arial"/>
                <w:lang w:val="en-NZ"/>
              </w:rPr>
              <w:t>The procedural right of a person against whom an allegation has been made to be treated fairly and to have their case heard in an unbiased manner.</w:t>
            </w:r>
          </w:p>
          <w:p w14:paraId="5B18CB94" w14:textId="77777777" w:rsidR="008F4E11" w:rsidRPr="0003653F" w:rsidRDefault="008F4E11" w:rsidP="007526FC">
            <w:pPr>
              <w:pStyle w:val="TableText"/>
              <w:spacing w:before="0" w:after="0"/>
              <w:ind w:right="238"/>
              <w:rPr>
                <w:rFonts w:cs="Arial"/>
                <w:highlight w:val="green"/>
                <w:lang w:val="en-NZ"/>
              </w:rPr>
            </w:pPr>
          </w:p>
        </w:tc>
      </w:tr>
      <w:tr w:rsidR="008F4E11" w:rsidRPr="0003653F" w14:paraId="48FCEE36" w14:textId="77777777" w:rsidTr="007526FC">
        <w:tc>
          <w:tcPr>
            <w:tcW w:w="2268" w:type="dxa"/>
            <w:shd w:val="clear" w:color="auto" w:fill="auto"/>
          </w:tcPr>
          <w:p w14:paraId="776869FF" w14:textId="77777777" w:rsidR="008F4E11" w:rsidRPr="0003653F" w:rsidRDefault="008F4E11" w:rsidP="007526FC">
            <w:pPr>
              <w:pStyle w:val="TableText"/>
              <w:spacing w:beforeLines="60" w:before="144" w:after="0"/>
              <w:rPr>
                <w:rFonts w:cs="Arial"/>
                <w:b/>
                <w:lang w:val="en-NZ"/>
              </w:rPr>
            </w:pPr>
            <w:r w:rsidRPr="0003653F">
              <w:rPr>
                <w:rFonts w:cs="Arial"/>
                <w:b/>
                <w:lang w:val="en-NZ"/>
              </w:rPr>
              <w:t>New Zealand Qualifications Framework (NZQF)</w:t>
            </w:r>
          </w:p>
        </w:tc>
        <w:tc>
          <w:tcPr>
            <w:tcW w:w="7337" w:type="dxa"/>
            <w:shd w:val="clear" w:color="auto" w:fill="auto"/>
          </w:tcPr>
          <w:p w14:paraId="45116FDB" w14:textId="6413D410" w:rsidR="008F4E11" w:rsidRPr="0003653F" w:rsidRDefault="008F4E11" w:rsidP="00D576F6">
            <w:pPr>
              <w:pStyle w:val="TableText"/>
              <w:spacing w:beforeLines="60" w:before="144" w:after="0"/>
              <w:rPr>
                <w:rFonts w:cs="Arial"/>
                <w:lang w:val="en-NZ"/>
              </w:rPr>
            </w:pPr>
            <w:r w:rsidRPr="0003653F">
              <w:rPr>
                <w:rFonts w:cs="Arial"/>
                <w:lang w:val="en-NZ"/>
              </w:rPr>
              <w:t>A comprehensive list of all quality-assured qualifications</w:t>
            </w:r>
            <w:r w:rsidR="00D576F6">
              <w:rPr>
                <w:rFonts w:cs="Arial"/>
                <w:lang w:val="en-NZ"/>
              </w:rPr>
              <w:t xml:space="preserve"> and standards </w:t>
            </w:r>
            <w:r w:rsidRPr="0003653F">
              <w:rPr>
                <w:rFonts w:cs="Arial"/>
                <w:lang w:val="en-NZ"/>
              </w:rPr>
              <w:t xml:space="preserve">in New Zealand. </w:t>
            </w:r>
          </w:p>
        </w:tc>
      </w:tr>
      <w:tr w:rsidR="008F4E11" w:rsidRPr="0003653F" w14:paraId="6570A1F7" w14:textId="77777777" w:rsidTr="007526FC">
        <w:tc>
          <w:tcPr>
            <w:tcW w:w="2268" w:type="dxa"/>
            <w:shd w:val="clear" w:color="auto" w:fill="auto"/>
          </w:tcPr>
          <w:p w14:paraId="7371EDA4" w14:textId="77777777" w:rsidR="008F4E11" w:rsidRPr="0003653F" w:rsidRDefault="008F4E11" w:rsidP="007526FC">
            <w:pPr>
              <w:pStyle w:val="TableText"/>
              <w:spacing w:beforeLines="60" w:before="144" w:after="0"/>
              <w:rPr>
                <w:rFonts w:cs="Arial"/>
                <w:b/>
                <w:lang w:val="en-NZ"/>
              </w:rPr>
            </w:pPr>
            <w:r w:rsidRPr="0003653F">
              <w:rPr>
                <w:rFonts w:cs="Arial"/>
                <w:b/>
                <w:lang w:val="en-NZ"/>
              </w:rPr>
              <w:t>Non-tuition fees</w:t>
            </w:r>
          </w:p>
        </w:tc>
        <w:tc>
          <w:tcPr>
            <w:tcW w:w="7337" w:type="dxa"/>
            <w:shd w:val="clear" w:color="auto" w:fill="auto"/>
          </w:tcPr>
          <w:p w14:paraId="74B69EFE" w14:textId="32D1545F" w:rsidR="008F4E11" w:rsidRPr="0003653F" w:rsidRDefault="008F4E11" w:rsidP="007526FC">
            <w:pPr>
              <w:pStyle w:val="TableText"/>
              <w:spacing w:beforeLines="60" w:before="144" w:after="0"/>
              <w:ind w:right="240"/>
              <w:rPr>
                <w:rFonts w:cs="Arial"/>
                <w:iCs/>
                <w:color w:val="000000"/>
                <w:lang w:val="en-NZ"/>
              </w:rPr>
            </w:pPr>
            <w:r w:rsidRPr="0003653F">
              <w:rPr>
                <w:rFonts w:cs="Arial"/>
                <w:lang w:val="en-NZ"/>
              </w:rPr>
              <w:t xml:space="preserve">Non-teaching related fees paid by </w:t>
            </w:r>
            <w:r w:rsidR="00893B2F">
              <w:rPr>
                <w:rFonts w:cs="Arial"/>
                <w:lang w:val="en-NZ"/>
              </w:rPr>
              <w:t>learner</w:t>
            </w:r>
            <w:r w:rsidRPr="0003653F">
              <w:rPr>
                <w:rFonts w:cs="Arial"/>
                <w:lang w:val="en-NZ"/>
              </w:rPr>
              <w:t>s to cover specific course-related costs (</w:t>
            </w:r>
            <w:proofErr w:type="gramStart"/>
            <w:r w:rsidRPr="0003653F">
              <w:rPr>
                <w:rFonts w:cs="Arial"/>
                <w:lang w:val="en-NZ"/>
              </w:rPr>
              <w:t>e.g.</w:t>
            </w:r>
            <w:proofErr w:type="gramEnd"/>
            <w:r w:rsidRPr="0003653F">
              <w:rPr>
                <w:rFonts w:cs="Arial"/>
                <w:lang w:val="en-NZ"/>
              </w:rPr>
              <w:t xml:space="preserve"> tools). </w:t>
            </w:r>
            <w:r w:rsidRPr="0003653F">
              <w:rPr>
                <w:rFonts w:cs="Arial"/>
                <w:iCs/>
                <w:color w:val="000000"/>
                <w:lang w:val="en-NZ"/>
              </w:rPr>
              <w:t xml:space="preserve">Includes additional fees that are not compulsory for all </w:t>
            </w:r>
            <w:r w:rsidR="00893B2F">
              <w:rPr>
                <w:rFonts w:cs="Arial"/>
                <w:iCs/>
                <w:color w:val="000000"/>
                <w:lang w:val="en-NZ"/>
              </w:rPr>
              <w:t>learner</w:t>
            </w:r>
            <w:r w:rsidRPr="0003653F">
              <w:rPr>
                <w:rFonts w:cs="Arial"/>
                <w:iCs/>
                <w:color w:val="000000"/>
                <w:lang w:val="en-NZ"/>
              </w:rPr>
              <w:t xml:space="preserve">s enrolled in a course and therefore cannot be paid directly to </w:t>
            </w:r>
            <w:r w:rsidR="00893B2F">
              <w:rPr>
                <w:rFonts w:cs="Arial"/>
                <w:iCs/>
                <w:color w:val="000000"/>
                <w:lang w:val="en-NZ"/>
              </w:rPr>
              <w:t>ATNZ</w:t>
            </w:r>
            <w:r w:rsidRPr="0003653F">
              <w:rPr>
                <w:rFonts w:cs="Arial"/>
                <w:iCs/>
                <w:color w:val="000000"/>
                <w:lang w:val="en-NZ"/>
              </w:rPr>
              <w:t xml:space="preserve"> by a </w:t>
            </w:r>
            <w:r w:rsidR="00B023D8">
              <w:rPr>
                <w:rFonts w:cs="Arial"/>
                <w:iCs/>
                <w:color w:val="000000"/>
                <w:lang w:val="en-NZ"/>
              </w:rPr>
              <w:t>Student</w:t>
            </w:r>
            <w:r w:rsidRPr="0003653F">
              <w:rPr>
                <w:rFonts w:cs="Arial"/>
                <w:iCs/>
                <w:color w:val="000000"/>
                <w:lang w:val="en-NZ"/>
              </w:rPr>
              <w:t xml:space="preserve">.  </w:t>
            </w:r>
          </w:p>
          <w:p w14:paraId="1CFE5E34" w14:textId="77777777" w:rsidR="008F4E11" w:rsidRPr="0003653F" w:rsidRDefault="008F4E11" w:rsidP="007526FC">
            <w:pPr>
              <w:pStyle w:val="TableText"/>
              <w:spacing w:before="0" w:after="0"/>
              <w:ind w:right="238"/>
              <w:rPr>
                <w:rFonts w:cs="Arial"/>
                <w:lang w:val="en-NZ"/>
              </w:rPr>
            </w:pPr>
          </w:p>
        </w:tc>
      </w:tr>
      <w:tr w:rsidR="008F4E11" w:rsidRPr="0003653F" w14:paraId="27716214" w14:textId="77777777" w:rsidTr="007526FC">
        <w:tc>
          <w:tcPr>
            <w:tcW w:w="2268" w:type="dxa"/>
            <w:shd w:val="clear" w:color="auto" w:fill="auto"/>
          </w:tcPr>
          <w:p w14:paraId="675F77C4" w14:textId="2FF2B69B" w:rsidR="008F4E11" w:rsidRPr="0003653F" w:rsidRDefault="008F4E11" w:rsidP="007526FC">
            <w:pPr>
              <w:pStyle w:val="TableText"/>
              <w:spacing w:beforeLines="60" w:before="144" w:after="0"/>
              <w:rPr>
                <w:rFonts w:cs="Arial"/>
                <w:b/>
                <w:lang w:val="en-NZ"/>
              </w:rPr>
            </w:pPr>
            <w:r w:rsidRPr="0003653F">
              <w:rPr>
                <w:rFonts w:cs="Arial"/>
                <w:b/>
                <w:lang w:val="en-NZ"/>
              </w:rPr>
              <w:t xml:space="preserve">Part-time </w:t>
            </w:r>
            <w:r w:rsidR="00893B2F">
              <w:rPr>
                <w:rFonts w:cs="Arial"/>
                <w:b/>
                <w:lang w:val="en-NZ"/>
              </w:rPr>
              <w:t>learner</w:t>
            </w:r>
          </w:p>
        </w:tc>
        <w:tc>
          <w:tcPr>
            <w:tcW w:w="7337" w:type="dxa"/>
            <w:shd w:val="clear" w:color="auto" w:fill="auto"/>
          </w:tcPr>
          <w:p w14:paraId="2D260A99" w14:textId="2A2D202D" w:rsidR="008F4E11" w:rsidRPr="0003653F" w:rsidRDefault="008F4E11" w:rsidP="004A4158">
            <w:pPr>
              <w:pStyle w:val="TableText"/>
              <w:spacing w:beforeLines="60" w:before="144" w:after="0"/>
              <w:rPr>
                <w:rFonts w:cs="Arial"/>
                <w:lang w:val="en-NZ"/>
              </w:rPr>
            </w:pPr>
            <w:r w:rsidRPr="0003653F">
              <w:rPr>
                <w:rFonts w:cs="Arial"/>
                <w:lang w:val="en-NZ"/>
              </w:rPr>
              <w:t xml:space="preserve">The Study Link definition of part-time </w:t>
            </w:r>
            <w:r w:rsidR="00893B2F">
              <w:rPr>
                <w:rFonts w:cs="Arial"/>
                <w:lang w:val="en-NZ"/>
              </w:rPr>
              <w:t>learner</w:t>
            </w:r>
            <w:r w:rsidRPr="0003653F">
              <w:rPr>
                <w:rFonts w:cs="Arial"/>
                <w:lang w:val="en-NZ"/>
              </w:rPr>
              <w:t xml:space="preserve"> shall apply.</w:t>
            </w:r>
          </w:p>
        </w:tc>
      </w:tr>
      <w:tr w:rsidR="008F4E11" w:rsidRPr="0003653F" w14:paraId="62B884A7" w14:textId="77777777" w:rsidTr="007526FC">
        <w:tc>
          <w:tcPr>
            <w:tcW w:w="2268" w:type="dxa"/>
            <w:shd w:val="clear" w:color="auto" w:fill="auto"/>
          </w:tcPr>
          <w:p w14:paraId="43CC7295" w14:textId="77777777" w:rsidR="008F4E11" w:rsidRPr="0003653F" w:rsidRDefault="008F4E11" w:rsidP="007526FC">
            <w:pPr>
              <w:pStyle w:val="TableText"/>
              <w:spacing w:beforeLines="60" w:before="144" w:after="0"/>
              <w:rPr>
                <w:rFonts w:cs="Arial"/>
                <w:b/>
                <w:lang w:val="en-NZ"/>
              </w:rPr>
            </w:pPr>
            <w:r w:rsidRPr="0003653F">
              <w:rPr>
                <w:rFonts w:cs="Arial"/>
                <w:b/>
                <w:lang w:val="en-NZ"/>
              </w:rPr>
              <w:t>Pre-requisite</w:t>
            </w:r>
          </w:p>
        </w:tc>
        <w:tc>
          <w:tcPr>
            <w:tcW w:w="7337" w:type="dxa"/>
            <w:shd w:val="clear" w:color="auto" w:fill="auto"/>
          </w:tcPr>
          <w:p w14:paraId="07084129" w14:textId="344675BC" w:rsidR="00005457" w:rsidRPr="0003653F" w:rsidRDefault="008F4E11" w:rsidP="004A4158">
            <w:pPr>
              <w:pStyle w:val="TableText"/>
              <w:spacing w:beforeLines="60" w:before="144" w:after="0"/>
              <w:ind w:right="240"/>
              <w:rPr>
                <w:rFonts w:cs="Arial"/>
                <w:bCs/>
                <w:iCs/>
                <w:color w:val="000000"/>
                <w:lang w:val="en-NZ"/>
              </w:rPr>
            </w:pPr>
            <w:r w:rsidRPr="0003653F">
              <w:rPr>
                <w:rFonts w:cs="Arial"/>
                <w:lang w:val="en-NZ"/>
              </w:rPr>
              <w:t xml:space="preserve">One or more specified courses that must be completed before a </w:t>
            </w:r>
            <w:r w:rsidR="00893B2F">
              <w:rPr>
                <w:rFonts w:cs="Arial"/>
                <w:lang w:val="en-NZ"/>
              </w:rPr>
              <w:t>learner</w:t>
            </w:r>
            <w:r w:rsidRPr="0003653F">
              <w:rPr>
                <w:rFonts w:cs="Arial"/>
                <w:lang w:val="en-NZ"/>
              </w:rPr>
              <w:t xml:space="preserve"> is </w:t>
            </w:r>
            <w:r w:rsidR="004526CE" w:rsidRPr="0003653F">
              <w:rPr>
                <w:rFonts w:cs="Arial"/>
                <w:lang w:val="en-NZ"/>
              </w:rPr>
              <w:t>permitted</w:t>
            </w:r>
            <w:r w:rsidRPr="0003653F">
              <w:rPr>
                <w:rFonts w:cs="Arial"/>
                <w:lang w:val="en-NZ"/>
              </w:rPr>
              <w:t xml:space="preserve"> to proceed to another course.</w:t>
            </w:r>
          </w:p>
        </w:tc>
      </w:tr>
      <w:tr w:rsidR="008F4E11" w:rsidRPr="0003653F" w14:paraId="7BB0F987" w14:textId="77777777" w:rsidTr="007526FC">
        <w:tc>
          <w:tcPr>
            <w:tcW w:w="2268" w:type="dxa"/>
            <w:shd w:val="clear" w:color="auto" w:fill="auto"/>
          </w:tcPr>
          <w:p w14:paraId="5BC5F4CD" w14:textId="77777777" w:rsidR="008F4E11" w:rsidRPr="0003653F" w:rsidRDefault="008F4E11" w:rsidP="007526FC">
            <w:pPr>
              <w:pStyle w:val="TableText"/>
              <w:spacing w:beforeLines="60" w:before="144" w:after="0"/>
              <w:rPr>
                <w:rFonts w:cs="Arial"/>
                <w:b/>
                <w:lang w:val="en-NZ"/>
              </w:rPr>
            </w:pPr>
            <w:r w:rsidRPr="0003653F">
              <w:rPr>
                <w:rFonts w:cs="Arial"/>
                <w:b/>
                <w:lang w:val="en-NZ"/>
              </w:rPr>
              <w:t>Programme</w:t>
            </w:r>
          </w:p>
        </w:tc>
        <w:tc>
          <w:tcPr>
            <w:tcW w:w="7337" w:type="dxa"/>
            <w:shd w:val="clear" w:color="auto" w:fill="auto"/>
          </w:tcPr>
          <w:p w14:paraId="3196A7D2" w14:textId="00C73075" w:rsidR="008F4E11" w:rsidRPr="0003653F" w:rsidRDefault="008F4E11" w:rsidP="004A4158">
            <w:pPr>
              <w:pStyle w:val="TableText"/>
              <w:spacing w:beforeLines="60" w:before="144"/>
              <w:ind w:right="240"/>
              <w:rPr>
                <w:rFonts w:cs="Arial"/>
              </w:rPr>
            </w:pPr>
            <w:r w:rsidRPr="0003653F">
              <w:rPr>
                <w:rFonts w:cs="Arial"/>
                <w:bCs/>
                <w:iCs/>
                <w:color w:val="000000"/>
                <w:lang w:val="en-NZ"/>
              </w:rPr>
              <w:t xml:space="preserve">A programme of study or </w:t>
            </w:r>
            <w:r w:rsidR="00957181">
              <w:rPr>
                <w:rFonts w:cs="Arial"/>
                <w:bCs/>
                <w:iCs/>
                <w:color w:val="000000"/>
                <w:lang w:val="en-NZ"/>
              </w:rPr>
              <w:t xml:space="preserve">industry </w:t>
            </w:r>
            <w:r w:rsidRPr="0003653F">
              <w:rPr>
                <w:rFonts w:cs="Arial"/>
                <w:bCs/>
                <w:iCs/>
                <w:color w:val="000000"/>
                <w:lang w:val="en-NZ"/>
              </w:rPr>
              <w:t>training leading to a qualification listed on the New Zealand Qualifications Framework.  A programme is made up of one or more courses.</w:t>
            </w:r>
          </w:p>
        </w:tc>
      </w:tr>
      <w:tr w:rsidR="008F4E11" w:rsidRPr="0003653F" w14:paraId="3AFA5D32" w14:textId="77777777" w:rsidTr="007526FC">
        <w:tc>
          <w:tcPr>
            <w:tcW w:w="2268" w:type="dxa"/>
            <w:shd w:val="clear" w:color="auto" w:fill="auto"/>
          </w:tcPr>
          <w:p w14:paraId="4F61B2DE" w14:textId="77777777" w:rsidR="008F4E11" w:rsidRPr="0003653F" w:rsidRDefault="008F4E11" w:rsidP="007526FC">
            <w:pPr>
              <w:pStyle w:val="TableText"/>
              <w:spacing w:beforeLines="60" w:before="144" w:after="0"/>
              <w:rPr>
                <w:rFonts w:cs="Arial"/>
                <w:b/>
                <w:lang w:val="en-NZ"/>
              </w:rPr>
            </w:pPr>
            <w:r w:rsidRPr="0003653F">
              <w:rPr>
                <w:rFonts w:cs="Arial"/>
                <w:b/>
                <w:lang w:val="en-NZ"/>
              </w:rPr>
              <w:t>Programme Document</w:t>
            </w:r>
          </w:p>
          <w:p w14:paraId="7217CE2E" w14:textId="77777777" w:rsidR="008F4E11" w:rsidRPr="0003653F" w:rsidRDefault="008F4E11" w:rsidP="007526FC">
            <w:pPr>
              <w:pStyle w:val="TableText"/>
              <w:spacing w:beforeLines="60" w:before="144" w:after="0"/>
              <w:rPr>
                <w:rFonts w:cs="Arial"/>
                <w:b/>
                <w:lang w:val="en-NZ"/>
              </w:rPr>
            </w:pPr>
          </w:p>
        </w:tc>
        <w:tc>
          <w:tcPr>
            <w:tcW w:w="7337" w:type="dxa"/>
            <w:shd w:val="clear" w:color="auto" w:fill="auto"/>
          </w:tcPr>
          <w:p w14:paraId="3CAFAFDC" w14:textId="25EAA4FE" w:rsidR="008F4E11" w:rsidRPr="0003653F" w:rsidRDefault="008F4E11" w:rsidP="004A4158">
            <w:pPr>
              <w:pStyle w:val="TableText"/>
              <w:spacing w:beforeLines="60" w:before="144" w:after="0"/>
              <w:rPr>
                <w:rFonts w:cs="Arial"/>
                <w:iCs/>
                <w:color w:val="000000"/>
                <w:lang w:val="en-NZ"/>
              </w:rPr>
            </w:pPr>
            <w:r w:rsidRPr="0003653F">
              <w:rPr>
                <w:rFonts w:cs="Arial"/>
                <w:iCs/>
                <w:color w:val="000000"/>
                <w:lang w:val="en-NZ"/>
              </w:rPr>
              <w:t xml:space="preserve">The definitive document for each programme, which sets out the authoritative information about the programme including the Programme or </w:t>
            </w:r>
            <w:r w:rsidR="002A309F" w:rsidRPr="0003653F">
              <w:rPr>
                <w:rFonts w:cs="Arial"/>
                <w:iCs/>
                <w:color w:val="000000"/>
                <w:lang w:val="en-NZ"/>
              </w:rPr>
              <w:t>T</w:t>
            </w:r>
            <w:r w:rsidRPr="0003653F">
              <w:rPr>
                <w:rFonts w:cs="Arial"/>
                <w:iCs/>
                <w:color w:val="000000"/>
                <w:lang w:val="en-NZ"/>
              </w:rPr>
              <w:t xml:space="preserve">raining </w:t>
            </w:r>
            <w:r w:rsidR="002A309F" w:rsidRPr="0003653F">
              <w:rPr>
                <w:rFonts w:cs="Arial"/>
                <w:iCs/>
                <w:color w:val="000000"/>
                <w:lang w:val="en-NZ"/>
              </w:rPr>
              <w:t>S</w:t>
            </w:r>
            <w:r w:rsidRPr="0003653F">
              <w:rPr>
                <w:rFonts w:cs="Arial"/>
                <w:iCs/>
                <w:color w:val="000000"/>
                <w:lang w:val="en-NZ"/>
              </w:rPr>
              <w:t>cheme Regulations, course outlines and delivery information.</w:t>
            </w:r>
          </w:p>
        </w:tc>
      </w:tr>
      <w:tr w:rsidR="008F4E11" w:rsidRPr="0003653F" w14:paraId="29B60EB5" w14:textId="77777777" w:rsidTr="007526FC">
        <w:tc>
          <w:tcPr>
            <w:tcW w:w="2268" w:type="dxa"/>
            <w:shd w:val="clear" w:color="auto" w:fill="auto"/>
          </w:tcPr>
          <w:p w14:paraId="31D60B93" w14:textId="68AD8B9D" w:rsidR="008F4E11" w:rsidRPr="0003653F" w:rsidRDefault="008F4E11" w:rsidP="007526FC">
            <w:pPr>
              <w:pStyle w:val="TableText"/>
              <w:spacing w:beforeLines="60" w:before="144" w:after="0"/>
              <w:rPr>
                <w:rFonts w:cs="Arial"/>
                <w:b/>
                <w:lang w:val="en-NZ"/>
              </w:rPr>
            </w:pPr>
            <w:r w:rsidRPr="0003653F">
              <w:rPr>
                <w:rFonts w:cs="Arial"/>
                <w:b/>
                <w:lang w:val="en-NZ"/>
              </w:rPr>
              <w:t xml:space="preserve">Programme or </w:t>
            </w:r>
            <w:proofErr w:type="spellStart"/>
            <w:proofErr w:type="gramStart"/>
            <w:r w:rsidR="00F76A2D">
              <w:rPr>
                <w:rFonts w:cs="Arial"/>
                <w:b/>
                <w:lang w:val="en-NZ"/>
              </w:rPr>
              <w:t>Microcredential</w:t>
            </w:r>
            <w:proofErr w:type="spellEnd"/>
            <w:r w:rsidR="00F76A2D">
              <w:rPr>
                <w:rFonts w:cs="Arial"/>
                <w:b/>
                <w:lang w:val="en-NZ"/>
              </w:rPr>
              <w:t xml:space="preserve"> </w:t>
            </w:r>
            <w:r w:rsidRPr="0003653F">
              <w:rPr>
                <w:rFonts w:cs="Arial"/>
                <w:b/>
                <w:lang w:val="en-NZ"/>
              </w:rPr>
              <w:t xml:space="preserve"> Regulations</w:t>
            </w:r>
            <w:proofErr w:type="gramEnd"/>
          </w:p>
        </w:tc>
        <w:tc>
          <w:tcPr>
            <w:tcW w:w="7337" w:type="dxa"/>
            <w:shd w:val="clear" w:color="auto" w:fill="auto"/>
          </w:tcPr>
          <w:p w14:paraId="7F66E6ED" w14:textId="16FB4083" w:rsidR="008F4E11" w:rsidRPr="0003653F" w:rsidRDefault="008F4E11" w:rsidP="004A4158">
            <w:pPr>
              <w:pStyle w:val="TableText"/>
              <w:spacing w:beforeLines="60" w:before="144" w:after="0"/>
              <w:rPr>
                <w:rFonts w:cs="Arial"/>
                <w:iCs/>
                <w:color w:val="000000"/>
                <w:lang w:val="en-NZ"/>
              </w:rPr>
            </w:pPr>
            <w:r w:rsidRPr="0003653F">
              <w:rPr>
                <w:rFonts w:cs="Arial"/>
                <w:iCs/>
                <w:color w:val="000000"/>
                <w:lang w:val="en-NZ"/>
              </w:rPr>
              <w:t>R</w:t>
            </w:r>
            <w:r w:rsidRPr="0003653F">
              <w:rPr>
                <w:rFonts w:cs="Arial"/>
                <w:lang w:val="en-NZ"/>
              </w:rPr>
              <w:t xml:space="preserve">egulations </w:t>
            </w:r>
            <w:r w:rsidRPr="0003653F">
              <w:rPr>
                <w:rFonts w:cs="Arial"/>
                <w:iCs/>
                <w:color w:val="000000"/>
                <w:lang w:val="en-NZ"/>
              </w:rPr>
              <w:t xml:space="preserve">that prescribe requirements for entry into and completion of a programme and courses making up the programme.  A summary of the Programme or </w:t>
            </w:r>
            <w:r w:rsidR="002A309F" w:rsidRPr="0003653F">
              <w:rPr>
                <w:rFonts w:cs="Arial"/>
                <w:iCs/>
                <w:color w:val="000000"/>
                <w:lang w:val="en-NZ"/>
              </w:rPr>
              <w:t>T</w:t>
            </w:r>
            <w:r w:rsidRPr="0003653F">
              <w:rPr>
                <w:rFonts w:cs="Arial"/>
                <w:iCs/>
                <w:color w:val="000000"/>
                <w:lang w:val="en-NZ"/>
              </w:rPr>
              <w:t xml:space="preserve">raining </w:t>
            </w:r>
            <w:r w:rsidR="002A309F" w:rsidRPr="0003653F">
              <w:rPr>
                <w:rFonts w:cs="Arial"/>
                <w:iCs/>
                <w:color w:val="000000"/>
                <w:lang w:val="en-NZ"/>
              </w:rPr>
              <w:t>S</w:t>
            </w:r>
            <w:r w:rsidRPr="0003653F">
              <w:rPr>
                <w:rFonts w:cs="Arial"/>
                <w:iCs/>
                <w:color w:val="000000"/>
                <w:lang w:val="en-NZ"/>
              </w:rPr>
              <w:t xml:space="preserve">cheme Regulations for each programme is available from the relevant </w:t>
            </w:r>
            <w:r w:rsidR="00EF0060" w:rsidRPr="0003653F">
              <w:rPr>
                <w:rFonts w:cs="Arial"/>
                <w:iCs/>
                <w:color w:val="000000"/>
                <w:lang w:val="en-NZ"/>
              </w:rPr>
              <w:t>Programme Leader</w:t>
            </w:r>
            <w:r w:rsidRPr="0003653F">
              <w:rPr>
                <w:rFonts w:cs="Arial"/>
                <w:iCs/>
                <w:color w:val="000000"/>
                <w:lang w:val="en-NZ"/>
              </w:rPr>
              <w:t>.</w:t>
            </w:r>
          </w:p>
        </w:tc>
      </w:tr>
      <w:tr w:rsidR="00B023D8" w:rsidRPr="0003653F" w14:paraId="0C57771A" w14:textId="77777777" w:rsidTr="007A1F30">
        <w:tc>
          <w:tcPr>
            <w:tcW w:w="2268" w:type="dxa"/>
            <w:shd w:val="clear" w:color="auto" w:fill="auto"/>
          </w:tcPr>
          <w:p w14:paraId="3409874B" w14:textId="04F5AB8D" w:rsidR="00B023D8" w:rsidRPr="0003653F" w:rsidRDefault="00B023D8" w:rsidP="007A1F30">
            <w:pPr>
              <w:pStyle w:val="TableText"/>
              <w:spacing w:beforeLines="60" w:before="144" w:after="0"/>
              <w:rPr>
                <w:rFonts w:cs="Arial"/>
                <w:b/>
                <w:lang w:val="en-NZ"/>
              </w:rPr>
            </w:pPr>
            <w:r w:rsidRPr="0003653F">
              <w:rPr>
                <w:rFonts w:cs="Arial"/>
                <w:b/>
                <w:lang w:val="en-NZ"/>
              </w:rPr>
              <w:t xml:space="preserve">Programme of </w:t>
            </w:r>
            <w:r w:rsidR="00957181">
              <w:rPr>
                <w:rFonts w:cs="Arial"/>
                <w:b/>
                <w:lang w:val="en-NZ"/>
              </w:rPr>
              <w:t>S</w:t>
            </w:r>
            <w:r w:rsidRPr="0003653F">
              <w:rPr>
                <w:rFonts w:cs="Arial"/>
                <w:b/>
                <w:lang w:val="en-NZ"/>
              </w:rPr>
              <w:t>tudy</w:t>
            </w:r>
          </w:p>
        </w:tc>
        <w:tc>
          <w:tcPr>
            <w:tcW w:w="7337" w:type="dxa"/>
            <w:shd w:val="clear" w:color="auto" w:fill="auto"/>
          </w:tcPr>
          <w:p w14:paraId="20021E77" w14:textId="6967BC90" w:rsidR="00B023D8" w:rsidRPr="0003653F" w:rsidRDefault="00B023D8" w:rsidP="004A4158">
            <w:pPr>
              <w:pStyle w:val="TableText"/>
              <w:spacing w:beforeLines="60" w:before="144"/>
              <w:rPr>
                <w:rFonts w:cs="Arial"/>
                <w:iCs/>
                <w:color w:val="000000"/>
              </w:rPr>
            </w:pPr>
            <w:r w:rsidRPr="0003653F">
              <w:rPr>
                <w:rFonts w:cs="Arial"/>
                <w:lang w:val="en-NZ"/>
              </w:rPr>
              <w:t>A coherent arrangement of learning or training, made up of one or more courses, leading to a qualification listed on the New Zealand Qualifications Framework.</w:t>
            </w:r>
          </w:p>
        </w:tc>
      </w:tr>
      <w:tr w:rsidR="00957181" w:rsidRPr="0003653F" w14:paraId="75759A98" w14:textId="77777777" w:rsidTr="007526FC">
        <w:tc>
          <w:tcPr>
            <w:tcW w:w="2268" w:type="dxa"/>
            <w:shd w:val="clear" w:color="auto" w:fill="auto"/>
          </w:tcPr>
          <w:p w14:paraId="7D39DCAF" w14:textId="0586B304" w:rsidR="00957181" w:rsidRPr="0003653F" w:rsidRDefault="00957181" w:rsidP="00957181">
            <w:pPr>
              <w:pStyle w:val="TableText"/>
              <w:spacing w:beforeLines="60" w:before="144" w:after="0"/>
              <w:rPr>
                <w:rFonts w:cs="Arial"/>
                <w:b/>
                <w:lang w:val="en-NZ"/>
              </w:rPr>
            </w:pPr>
            <w:r>
              <w:rPr>
                <w:rFonts w:cs="Arial"/>
                <w:b/>
                <w:lang w:val="en-NZ"/>
              </w:rPr>
              <w:t>Programme of Industry Training</w:t>
            </w:r>
          </w:p>
        </w:tc>
        <w:tc>
          <w:tcPr>
            <w:tcW w:w="7337" w:type="dxa"/>
            <w:shd w:val="clear" w:color="auto" w:fill="auto"/>
          </w:tcPr>
          <w:p w14:paraId="2FD40FF9" w14:textId="3E0C0519" w:rsidR="00957181" w:rsidRPr="0003653F" w:rsidRDefault="00957181" w:rsidP="004A4158">
            <w:pPr>
              <w:pStyle w:val="TableText"/>
              <w:spacing w:beforeLines="60" w:before="144"/>
              <w:ind w:right="240"/>
              <w:rPr>
                <w:rFonts w:cs="Arial"/>
                <w:lang w:val="en-NZ"/>
              </w:rPr>
            </w:pPr>
            <w:r w:rsidRPr="0003653F">
              <w:rPr>
                <w:rFonts w:cs="Arial"/>
                <w:bCs/>
                <w:iCs/>
                <w:color w:val="000000"/>
                <w:lang w:val="en-NZ"/>
              </w:rPr>
              <w:t xml:space="preserve">A programme </w:t>
            </w:r>
            <w:r>
              <w:rPr>
                <w:rFonts w:cs="Arial"/>
                <w:bCs/>
                <w:iCs/>
                <w:color w:val="000000"/>
                <w:lang w:val="en-NZ"/>
              </w:rPr>
              <w:t xml:space="preserve">comprising of compulsory and optional unit standards and primarily undertaken through work-based learning </w:t>
            </w:r>
            <w:r w:rsidR="008D0911">
              <w:rPr>
                <w:rFonts w:cs="Arial"/>
                <w:bCs/>
                <w:iCs/>
                <w:color w:val="000000"/>
                <w:lang w:val="en-NZ"/>
              </w:rPr>
              <w:t>(</w:t>
            </w:r>
            <w:r>
              <w:rPr>
                <w:rFonts w:cs="Arial"/>
                <w:bCs/>
                <w:iCs/>
                <w:color w:val="000000"/>
                <w:lang w:val="en-NZ"/>
              </w:rPr>
              <w:t xml:space="preserve">industry </w:t>
            </w:r>
            <w:r w:rsidRPr="0003653F">
              <w:rPr>
                <w:rFonts w:cs="Arial"/>
                <w:bCs/>
                <w:iCs/>
                <w:color w:val="000000"/>
                <w:lang w:val="en-NZ"/>
              </w:rPr>
              <w:t>training</w:t>
            </w:r>
            <w:r w:rsidR="008D0911">
              <w:rPr>
                <w:rFonts w:cs="Arial"/>
                <w:bCs/>
                <w:iCs/>
                <w:color w:val="000000"/>
                <w:lang w:val="en-NZ"/>
              </w:rPr>
              <w:t>)</w:t>
            </w:r>
            <w:r w:rsidRPr="0003653F">
              <w:rPr>
                <w:rFonts w:cs="Arial"/>
                <w:bCs/>
                <w:iCs/>
                <w:color w:val="000000"/>
                <w:lang w:val="en-NZ"/>
              </w:rPr>
              <w:t xml:space="preserve"> leading to a qualification listed on the New Zealand Qualifications Framework.  A programme is made up of</w:t>
            </w:r>
            <w:r w:rsidR="008D0911">
              <w:rPr>
                <w:rFonts w:cs="Arial"/>
                <w:bCs/>
                <w:iCs/>
                <w:color w:val="000000"/>
                <w:lang w:val="en-NZ"/>
              </w:rPr>
              <w:t xml:space="preserve"> compulsory and optional assessment standards</w:t>
            </w:r>
            <w:r w:rsidRPr="0003653F">
              <w:rPr>
                <w:rFonts w:cs="Arial"/>
                <w:bCs/>
                <w:iCs/>
                <w:color w:val="000000"/>
                <w:lang w:val="en-NZ"/>
              </w:rPr>
              <w:t>.</w:t>
            </w:r>
          </w:p>
        </w:tc>
      </w:tr>
      <w:tr w:rsidR="00957181" w:rsidRPr="0003653F" w14:paraId="3907ACD9" w14:textId="77777777" w:rsidTr="007526FC">
        <w:tc>
          <w:tcPr>
            <w:tcW w:w="2268" w:type="dxa"/>
            <w:shd w:val="clear" w:color="auto" w:fill="auto"/>
          </w:tcPr>
          <w:p w14:paraId="21289E06" w14:textId="77777777" w:rsidR="00957181" w:rsidRPr="0003653F" w:rsidRDefault="00957181" w:rsidP="00957181">
            <w:pPr>
              <w:pStyle w:val="TableText"/>
              <w:spacing w:beforeLines="60" w:before="144" w:after="0"/>
              <w:rPr>
                <w:rFonts w:cs="Arial"/>
                <w:b/>
                <w:lang w:val="en-NZ"/>
              </w:rPr>
            </w:pPr>
            <w:r w:rsidRPr="0003653F">
              <w:rPr>
                <w:rFonts w:cs="Arial"/>
                <w:b/>
                <w:lang w:val="en-NZ"/>
              </w:rPr>
              <w:t>Qualification</w:t>
            </w:r>
          </w:p>
        </w:tc>
        <w:tc>
          <w:tcPr>
            <w:tcW w:w="7337" w:type="dxa"/>
            <w:shd w:val="clear" w:color="auto" w:fill="auto"/>
          </w:tcPr>
          <w:p w14:paraId="5C7614C5" w14:textId="4FFFDD2A" w:rsidR="00957181" w:rsidRPr="0003653F" w:rsidRDefault="00957181" w:rsidP="004A4158">
            <w:pPr>
              <w:pStyle w:val="TableText"/>
              <w:spacing w:beforeLines="60" w:before="144" w:after="0"/>
              <w:rPr>
                <w:rFonts w:cs="Arial"/>
                <w:lang w:val="en-NZ"/>
              </w:rPr>
            </w:pPr>
            <w:r w:rsidRPr="0003653F">
              <w:rPr>
                <w:rFonts w:cs="Arial"/>
                <w:lang w:val="en-NZ"/>
              </w:rPr>
              <w:t xml:space="preserve">The formal acknowledgement of an individual’s achievement against a set of learning outcomes. </w:t>
            </w:r>
          </w:p>
        </w:tc>
      </w:tr>
      <w:tr w:rsidR="00957181" w:rsidRPr="0003653F" w14:paraId="667C6F0B" w14:textId="77777777" w:rsidTr="007526FC">
        <w:tc>
          <w:tcPr>
            <w:tcW w:w="2268" w:type="dxa"/>
            <w:shd w:val="clear" w:color="auto" w:fill="auto"/>
          </w:tcPr>
          <w:p w14:paraId="767ECE28" w14:textId="77777777" w:rsidR="00957181" w:rsidRPr="0003653F" w:rsidRDefault="00957181" w:rsidP="00957181">
            <w:pPr>
              <w:pStyle w:val="TableText"/>
              <w:spacing w:beforeLines="60" w:before="144" w:after="0"/>
              <w:rPr>
                <w:rFonts w:cs="Arial"/>
                <w:b/>
                <w:lang w:val="en-NZ"/>
              </w:rPr>
            </w:pPr>
            <w:r w:rsidRPr="0003653F">
              <w:rPr>
                <w:rFonts w:cs="Arial"/>
                <w:b/>
                <w:lang w:val="en-NZ"/>
              </w:rPr>
              <w:t>Recognition of prior learning (RPL)</w:t>
            </w:r>
          </w:p>
        </w:tc>
        <w:tc>
          <w:tcPr>
            <w:tcW w:w="7337" w:type="dxa"/>
            <w:shd w:val="clear" w:color="auto" w:fill="auto"/>
          </w:tcPr>
          <w:p w14:paraId="19442642" w14:textId="146D27E5" w:rsidR="00957181" w:rsidRPr="0003653F" w:rsidRDefault="00957181" w:rsidP="004A4158">
            <w:pPr>
              <w:pStyle w:val="ListParagraph"/>
              <w:ind w:left="0"/>
              <w:rPr>
                <w:rFonts w:cs="Arial"/>
                <w:highlight w:val="green"/>
              </w:rPr>
            </w:pPr>
            <w:r w:rsidRPr="00137D94">
              <w:rPr>
                <w:rFonts w:ascii="Arial" w:hAnsi="Arial" w:cs="Arial"/>
                <w:iCs/>
                <w:color w:val="000000"/>
                <w:sz w:val="20"/>
                <w:szCs w:val="20"/>
              </w:rPr>
              <w:t>The</w:t>
            </w:r>
            <w:r w:rsidRPr="00137D94">
              <w:rPr>
                <w:rFonts w:ascii="Arial" w:hAnsi="Arial" w:cs="Arial"/>
                <w:sz w:val="20"/>
                <w:szCs w:val="20"/>
              </w:rPr>
              <w:t xml:space="preserve"> process involving formal assessment of a learner’s relevant and current knowledge and skills (which may have been obtained through formal training or on the job or life experience) to determine achievement of learning outcomes of a qualification for the purpose of awarding credit towards that qualification.  Recognition of Prior Learning does not include credit transfer (CT) or cross credit (CC).</w:t>
            </w:r>
          </w:p>
        </w:tc>
      </w:tr>
      <w:tr w:rsidR="00957181" w:rsidRPr="0003653F" w14:paraId="7B4F81D1" w14:textId="77777777" w:rsidTr="007526FC">
        <w:tc>
          <w:tcPr>
            <w:tcW w:w="2268" w:type="dxa"/>
            <w:shd w:val="clear" w:color="auto" w:fill="auto"/>
          </w:tcPr>
          <w:p w14:paraId="71A07DA1" w14:textId="77777777" w:rsidR="00957181" w:rsidRPr="0003653F" w:rsidRDefault="00957181" w:rsidP="00957181">
            <w:pPr>
              <w:pStyle w:val="TableText"/>
              <w:spacing w:beforeLines="60" w:before="144" w:after="0"/>
              <w:rPr>
                <w:rFonts w:cs="Arial"/>
                <w:b/>
                <w:lang w:val="en-NZ"/>
              </w:rPr>
            </w:pPr>
            <w:r w:rsidRPr="0003653F">
              <w:rPr>
                <w:rFonts w:cs="Arial"/>
                <w:b/>
                <w:lang w:val="en-NZ"/>
              </w:rPr>
              <w:t>Refund period</w:t>
            </w:r>
          </w:p>
        </w:tc>
        <w:tc>
          <w:tcPr>
            <w:tcW w:w="7337" w:type="dxa"/>
            <w:shd w:val="clear" w:color="auto" w:fill="auto"/>
          </w:tcPr>
          <w:p w14:paraId="700B447E" w14:textId="33EB6A0A" w:rsidR="00957181" w:rsidRPr="0003653F" w:rsidRDefault="00957181" w:rsidP="004A4158">
            <w:pPr>
              <w:pStyle w:val="TableText"/>
              <w:spacing w:beforeLines="60" w:before="144" w:after="0"/>
              <w:outlineLvl w:val="2"/>
              <w:rPr>
                <w:rFonts w:cs="Arial"/>
                <w:lang w:val="en-NZ"/>
              </w:rPr>
            </w:pPr>
            <w:bookmarkStart w:id="97" w:name="_Toc403128014"/>
            <w:bookmarkStart w:id="98" w:name="_Toc505586372"/>
            <w:bookmarkStart w:id="99" w:name="_Toc505589405"/>
            <w:bookmarkStart w:id="100" w:name="_Toc505590341"/>
            <w:bookmarkStart w:id="101" w:name="_Toc505880035"/>
            <w:bookmarkStart w:id="102" w:name="_Toc97563323"/>
            <w:bookmarkStart w:id="103" w:name="_Toc97564977"/>
            <w:bookmarkStart w:id="104" w:name="_Toc103510139"/>
            <w:bookmarkStart w:id="105" w:name="_Toc103514771"/>
            <w:bookmarkStart w:id="106" w:name="_Toc103516456"/>
            <w:bookmarkStart w:id="107" w:name="_Toc105753616"/>
            <w:r w:rsidRPr="0003653F">
              <w:rPr>
                <w:rFonts w:cs="Arial"/>
                <w:iCs/>
                <w:color w:val="000000"/>
                <w:lang w:val="en-NZ"/>
              </w:rPr>
              <w:t xml:space="preserve">The period, subject to specified conditions, in which a </w:t>
            </w:r>
            <w:r>
              <w:rPr>
                <w:rFonts w:cs="Arial"/>
                <w:iCs/>
                <w:color w:val="000000"/>
                <w:lang w:val="en-NZ"/>
              </w:rPr>
              <w:t>learner</w:t>
            </w:r>
            <w:r w:rsidRPr="0003653F">
              <w:rPr>
                <w:rFonts w:cs="Arial"/>
                <w:iCs/>
                <w:color w:val="000000"/>
                <w:lang w:val="en-NZ"/>
              </w:rPr>
              <w:t xml:space="preserve"> may receive a full or partial refund of fees as set out in the </w:t>
            </w:r>
            <w:r>
              <w:rPr>
                <w:rFonts w:cs="Arial"/>
                <w:i/>
                <w:iCs/>
                <w:color w:val="000000"/>
                <w:lang w:val="en-NZ"/>
              </w:rPr>
              <w:t>Learner</w:t>
            </w:r>
            <w:r w:rsidRPr="0003653F">
              <w:rPr>
                <w:rFonts w:cs="Arial"/>
                <w:i/>
                <w:iCs/>
                <w:color w:val="000000"/>
                <w:lang w:val="en-NZ"/>
              </w:rPr>
              <w:t xml:space="preserve"> Regulations</w:t>
            </w:r>
            <w:r w:rsidRPr="0003653F">
              <w:rPr>
                <w:rFonts w:cs="Arial"/>
                <w:iCs/>
                <w:color w:val="000000"/>
                <w:lang w:val="en-NZ"/>
              </w:rPr>
              <w:t>.</w:t>
            </w:r>
            <w:bookmarkEnd w:id="97"/>
            <w:bookmarkEnd w:id="98"/>
            <w:bookmarkEnd w:id="99"/>
            <w:bookmarkEnd w:id="100"/>
            <w:bookmarkEnd w:id="101"/>
            <w:bookmarkEnd w:id="102"/>
            <w:bookmarkEnd w:id="103"/>
            <w:bookmarkEnd w:id="104"/>
            <w:bookmarkEnd w:id="105"/>
            <w:bookmarkEnd w:id="106"/>
            <w:bookmarkEnd w:id="107"/>
          </w:p>
        </w:tc>
      </w:tr>
      <w:tr w:rsidR="00957181" w:rsidRPr="0003653F" w14:paraId="7BC211D5" w14:textId="77777777" w:rsidTr="007526FC">
        <w:tc>
          <w:tcPr>
            <w:tcW w:w="2268" w:type="dxa"/>
            <w:shd w:val="clear" w:color="auto" w:fill="auto"/>
          </w:tcPr>
          <w:p w14:paraId="34342C6F" w14:textId="77777777" w:rsidR="00957181" w:rsidRPr="0003653F" w:rsidRDefault="00957181" w:rsidP="00957181">
            <w:pPr>
              <w:pStyle w:val="TableText"/>
              <w:spacing w:beforeLines="60" w:before="144" w:after="0"/>
              <w:rPr>
                <w:rFonts w:cs="Arial"/>
                <w:b/>
                <w:lang w:val="en-NZ"/>
              </w:rPr>
            </w:pPr>
            <w:r w:rsidRPr="0003653F">
              <w:rPr>
                <w:rFonts w:cs="Arial"/>
                <w:b/>
                <w:lang w:val="en-NZ"/>
              </w:rPr>
              <w:t>Selection criteria</w:t>
            </w:r>
          </w:p>
        </w:tc>
        <w:tc>
          <w:tcPr>
            <w:tcW w:w="7337" w:type="dxa"/>
            <w:shd w:val="clear" w:color="auto" w:fill="auto"/>
          </w:tcPr>
          <w:p w14:paraId="2653E698" w14:textId="38C0D35B" w:rsidR="00957181" w:rsidRPr="0003653F" w:rsidRDefault="00957181" w:rsidP="004A4158">
            <w:pPr>
              <w:pStyle w:val="TableText"/>
              <w:spacing w:beforeLines="60" w:before="144" w:after="0"/>
              <w:rPr>
                <w:rFonts w:cs="Arial"/>
                <w:lang w:val="en-NZ"/>
              </w:rPr>
            </w:pPr>
            <w:r w:rsidRPr="0003653F">
              <w:rPr>
                <w:rFonts w:cs="Arial"/>
                <w:bCs/>
                <w:iCs/>
                <w:color w:val="000000"/>
                <w:lang w:val="en-NZ"/>
              </w:rPr>
              <w:t>T</w:t>
            </w:r>
            <w:r w:rsidRPr="0003653F">
              <w:rPr>
                <w:rFonts w:cs="Arial"/>
                <w:iCs/>
                <w:color w:val="000000"/>
                <w:lang w:val="en-NZ"/>
              </w:rPr>
              <w:t>he criteria on which applicants are selected for entry into a programme where there are more applicants who meet the entry criteria than places available.</w:t>
            </w:r>
          </w:p>
        </w:tc>
      </w:tr>
      <w:tr w:rsidR="00957181" w:rsidRPr="00EF3B1F" w14:paraId="6CD6AFD0" w14:textId="77777777" w:rsidTr="00EF3B1F">
        <w:trPr>
          <w:trHeight w:val="772"/>
        </w:trPr>
        <w:tc>
          <w:tcPr>
            <w:tcW w:w="2268" w:type="dxa"/>
            <w:shd w:val="clear" w:color="auto" w:fill="auto"/>
          </w:tcPr>
          <w:p w14:paraId="5F33168E" w14:textId="77777777" w:rsidR="00957181" w:rsidRPr="00EF3B1F" w:rsidRDefault="00957181" w:rsidP="00957181">
            <w:pPr>
              <w:pStyle w:val="TableText"/>
              <w:spacing w:beforeLines="60" w:before="144" w:after="0"/>
              <w:rPr>
                <w:rFonts w:cs="Arial"/>
                <w:b/>
                <w:lang w:val="en-NZ"/>
              </w:rPr>
            </w:pPr>
            <w:r w:rsidRPr="00EF3B1F">
              <w:rPr>
                <w:rFonts w:cs="Arial"/>
                <w:b/>
              </w:rPr>
              <w:lastRenderedPageBreak/>
              <w:t>Serious misconduct</w:t>
            </w:r>
          </w:p>
        </w:tc>
        <w:tc>
          <w:tcPr>
            <w:tcW w:w="7337" w:type="dxa"/>
            <w:shd w:val="clear" w:color="auto" w:fill="auto"/>
          </w:tcPr>
          <w:p w14:paraId="45F5414B" w14:textId="77777777" w:rsidR="00957181" w:rsidRPr="00EF3B1F" w:rsidRDefault="00957181" w:rsidP="00957181">
            <w:pPr>
              <w:spacing w:after="160" w:line="256" w:lineRule="auto"/>
              <w:ind w:left="55"/>
              <w:contextualSpacing/>
              <w:rPr>
                <w:rFonts w:ascii="Arial" w:hAnsi="Arial" w:cs="Arial"/>
                <w:sz w:val="20"/>
                <w:szCs w:val="20"/>
              </w:rPr>
            </w:pPr>
            <w:r>
              <w:rPr>
                <w:rFonts w:ascii="Arial" w:hAnsi="Arial" w:cs="Arial"/>
                <w:sz w:val="20"/>
                <w:szCs w:val="20"/>
                <w:lang w:eastAsia="en-US"/>
              </w:rPr>
              <w:t>A third repeated act of Misconduct or misconduct b</w:t>
            </w:r>
            <w:r w:rsidRPr="00EF3B1F">
              <w:rPr>
                <w:rFonts w:ascii="Arial" w:hAnsi="Arial" w:cs="Arial"/>
                <w:sz w:val="20"/>
                <w:szCs w:val="20"/>
                <w:lang w:eastAsia="en-US"/>
              </w:rPr>
              <w:t>ehaviour that puts the safety of self/others/property at risk and/or is unlawful, for example theft, violence, intimidation and/or harassment (sexual, psychological, physical).</w:t>
            </w:r>
          </w:p>
        </w:tc>
      </w:tr>
      <w:tr w:rsidR="00957181" w:rsidRPr="0003653F" w14:paraId="7048BB82" w14:textId="77777777" w:rsidTr="007526FC">
        <w:tc>
          <w:tcPr>
            <w:tcW w:w="2268" w:type="dxa"/>
            <w:shd w:val="clear" w:color="auto" w:fill="auto"/>
          </w:tcPr>
          <w:p w14:paraId="0323A90A" w14:textId="77777777" w:rsidR="00957181" w:rsidRPr="0003653F" w:rsidRDefault="00957181" w:rsidP="00957181">
            <w:pPr>
              <w:pStyle w:val="TableText"/>
              <w:spacing w:beforeLines="60" w:before="144" w:after="0"/>
              <w:rPr>
                <w:rFonts w:cs="Arial"/>
                <w:b/>
                <w:lang w:val="en-NZ"/>
              </w:rPr>
            </w:pPr>
            <w:r w:rsidRPr="0003653F">
              <w:rPr>
                <w:rFonts w:cs="Arial"/>
                <w:b/>
                <w:lang w:val="en-NZ"/>
              </w:rPr>
              <w:t>Smoke and smoking</w:t>
            </w:r>
          </w:p>
        </w:tc>
        <w:tc>
          <w:tcPr>
            <w:tcW w:w="7337" w:type="dxa"/>
            <w:shd w:val="clear" w:color="auto" w:fill="auto"/>
          </w:tcPr>
          <w:p w14:paraId="6D36F458" w14:textId="01A21AD4" w:rsidR="00957181" w:rsidRPr="0003653F" w:rsidRDefault="00957181" w:rsidP="004A4158">
            <w:pPr>
              <w:pStyle w:val="TableText"/>
              <w:spacing w:beforeLines="60" w:before="144" w:after="0"/>
              <w:rPr>
                <w:rFonts w:cs="Arial"/>
                <w:lang w:val="en-NZ"/>
              </w:rPr>
            </w:pPr>
            <w:r w:rsidRPr="0003653F">
              <w:rPr>
                <w:rFonts w:cs="Arial"/>
                <w:lang w:val="en-NZ"/>
              </w:rPr>
              <w:t>“Smoke and smoking” shall have the meaning set out in section 2 of the Smoke-free Environments Act 1990.</w:t>
            </w:r>
          </w:p>
        </w:tc>
      </w:tr>
      <w:tr w:rsidR="00957181" w:rsidRPr="0003653F" w14:paraId="03586FAC" w14:textId="77777777" w:rsidTr="007526FC">
        <w:tc>
          <w:tcPr>
            <w:tcW w:w="2268" w:type="dxa"/>
            <w:shd w:val="clear" w:color="auto" w:fill="auto"/>
          </w:tcPr>
          <w:p w14:paraId="314E5C58" w14:textId="77777777" w:rsidR="00957181" w:rsidRPr="0003653F" w:rsidRDefault="00957181" w:rsidP="00957181">
            <w:pPr>
              <w:pStyle w:val="TableText"/>
              <w:spacing w:beforeLines="60" w:before="144" w:after="0"/>
              <w:rPr>
                <w:rFonts w:cs="Arial"/>
                <w:b/>
                <w:lang w:val="en-NZ"/>
              </w:rPr>
            </w:pPr>
            <w:r>
              <w:rPr>
                <w:b/>
              </w:rPr>
              <w:t>Specific learning disorder/disability</w:t>
            </w:r>
          </w:p>
        </w:tc>
        <w:tc>
          <w:tcPr>
            <w:tcW w:w="7337" w:type="dxa"/>
            <w:shd w:val="clear" w:color="auto" w:fill="auto"/>
          </w:tcPr>
          <w:p w14:paraId="26396806" w14:textId="6E73223F" w:rsidR="00957181" w:rsidRPr="0003653F" w:rsidRDefault="00957181" w:rsidP="00957181">
            <w:pPr>
              <w:pStyle w:val="BlockText"/>
              <w:spacing w:before="120"/>
              <w:ind w:left="0"/>
              <w:rPr>
                <w:rFonts w:cs="Arial"/>
                <w:lang w:val="en-NZ"/>
              </w:rPr>
            </w:pPr>
            <w:r>
              <w:t>C</w:t>
            </w:r>
            <w:r w:rsidRPr="00901050">
              <w:t xml:space="preserve">onditions that </w:t>
            </w:r>
            <w:r>
              <w:t xml:space="preserve">may </w:t>
            </w:r>
            <w:r w:rsidRPr="00901050">
              <w:t xml:space="preserve">impact on learning such as dyslexia, dyspraxia, ADHD, autism, Asperger’s </w:t>
            </w:r>
            <w:proofErr w:type="gramStart"/>
            <w:r w:rsidRPr="00901050">
              <w:t>Syndrome</w:t>
            </w:r>
            <w:proofErr w:type="gramEnd"/>
            <w:r w:rsidRPr="00901050">
              <w:t xml:space="preserve"> and </w:t>
            </w:r>
            <w:proofErr w:type="spellStart"/>
            <w:r w:rsidRPr="00901050">
              <w:t>Irlen</w:t>
            </w:r>
            <w:r w:rsidR="004A4158">
              <w:t>s</w:t>
            </w:r>
            <w:proofErr w:type="spellEnd"/>
            <w:r w:rsidRPr="00901050">
              <w:t xml:space="preserve"> Syndrome.</w:t>
            </w:r>
            <w:r>
              <w:rPr>
                <w:rFonts w:cs="Arial"/>
                <w:lang w:val="en-NZ"/>
              </w:rPr>
              <w:t xml:space="preserve"> </w:t>
            </w:r>
          </w:p>
        </w:tc>
      </w:tr>
      <w:tr w:rsidR="00957181" w:rsidRPr="0003653F" w14:paraId="3968F9CD" w14:textId="77777777" w:rsidTr="007526FC">
        <w:tc>
          <w:tcPr>
            <w:tcW w:w="2268" w:type="dxa"/>
            <w:shd w:val="clear" w:color="auto" w:fill="auto"/>
          </w:tcPr>
          <w:p w14:paraId="72C0C384" w14:textId="77777777" w:rsidR="00957181" w:rsidRPr="0003653F" w:rsidRDefault="00957181" w:rsidP="00957181">
            <w:pPr>
              <w:pStyle w:val="TableText"/>
              <w:spacing w:beforeLines="60" w:before="144" w:after="0"/>
              <w:rPr>
                <w:rFonts w:cs="Arial"/>
                <w:b/>
                <w:lang w:val="en-NZ"/>
              </w:rPr>
            </w:pPr>
            <w:r w:rsidRPr="0003653F">
              <w:rPr>
                <w:rFonts w:cs="Arial"/>
                <w:b/>
                <w:lang w:val="en-NZ"/>
              </w:rPr>
              <w:t>Statement</w:t>
            </w:r>
          </w:p>
        </w:tc>
        <w:tc>
          <w:tcPr>
            <w:tcW w:w="7337" w:type="dxa"/>
            <w:shd w:val="clear" w:color="auto" w:fill="auto"/>
          </w:tcPr>
          <w:p w14:paraId="68199B55" w14:textId="77777777" w:rsidR="00957181" w:rsidRPr="0003653F" w:rsidRDefault="00957181" w:rsidP="00957181">
            <w:pPr>
              <w:pStyle w:val="TableText"/>
              <w:spacing w:beforeLines="60" w:before="144"/>
              <w:rPr>
                <w:rFonts w:cs="Arial"/>
              </w:rPr>
            </w:pPr>
            <w:r w:rsidRPr="0003653F">
              <w:rPr>
                <w:rFonts w:cs="Arial"/>
                <w:lang w:val="en-NZ"/>
              </w:rPr>
              <w:t xml:space="preserve">A document (unsealed award) stating that the requirements for the granting of a certificate of achievement, certificate of proficiency or certificate of attendance have been met.  </w:t>
            </w:r>
          </w:p>
        </w:tc>
      </w:tr>
      <w:tr w:rsidR="00957181" w:rsidRPr="0003653F" w14:paraId="540820C2" w14:textId="77777777" w:rsidTr="007526FC">
        <w:tc>
          <w:tcPr>
            <w:tcW w:w="2268" w:type="dxa"/>
            <w:shd w:val="clear" w:color="auto" w:fill="auto"/>
          </w:tcPr>
          <w:p w14:paraId="0B43F2DC" w14:textId="79E568D8" w:rsidR="00957181" w:rsidRPr="0003653F" w:rsidRDefault="00957181" w:rsidP="00957181">
            <w:pPr>
              <w:pStyle w:val="TableText"/>
              <w:spacing w:beforeLines="60" w:before="144" w:after="0"/>
              <w:rPr>
                <w:rFonts w:cs="Arial"/>
                <w:b/>
                <w:lang w:val="en-NZ"/>
              </w:rPr>
            </w:pPr>
            <w:r>
              <w:rPr>
                <w:rFonts w:cs="Arial"/>
                <w:b/>
                <w:lang w:val="en-NZ"/>
              </w:rPr>
              <w:t>Learner</w:t>
            </w:r>
          </w:p>
        </w:tc>
        <w:tc>
          <w:tcPr>
            <w:tcW w:w="7337" w:type="dxa"/>
            <w:shd w:val="clear" w:color="auto" w:fill="auto"/>
          </w:tcPr>
          <w:p w14:paraId="48C89D0A" w14:textId="77777777" w:rsidR="00957181" w:rsidRPr="0003653F" w:rsidRDefault="00957181" w:rsidP="00957181">
            <w:pPr>
              <w:pStyle w:val="TableText"/>
              <w:spacing w:beforeLines="60" w:before="144" w:after="0"/>
              <w:rPr>
                <w:rFonts w:cs="Arial"/>
                <w:lang w:val="en-NZ"/>
              </w:rPr>
            </w:pPr>
            <w:r w:rsidRPr="0003653F">
              <w:rPr>
                <w:rFonts w:cs="Arial"/>
                <w:lang w:val="en-NZ"/>
              </w:rPr>
              <w:t>Any person:</w:t>
            </w:r>
          </w:p>
          <w:p w14:paraId="533D6E89" w14:textId="396053AA" w:rsidR="00957181" w:rsidRPr="0003653F" w:rsidRDefault="00957181" w:rsidP="00566D87">
            <w:pPr>
              <w:pStyle w:val="TableBullet1"/>
              <w:numPr>
                <w:ilvl w:val="0"/>
                <w:numId w:val="20"/>
              </w:numPr>
              <w:spacing w:beforeLines="40" w:before="96" w:after="0"/>
              <w:rPr>
                <w:rFonts w:cs="Arial"/>
                <w:lang w:val="en-NZ"/>
              </w:rPr>
            </w:pPr>
            <w:r w:rsidRPr="0003653F">
              <w:rPr>
                <w:rFonts w:cs="Arial"/>
                <w:lang w:val="en-NZ"/>
              </w:rPr>
              <w:t xml:space="preserve">enrolled, or in the process of applying to be enrolled, in a programme or training scheme delivered by </w:t>
            </w:r>
            <w:r>
              <w:rPr>
                <w:rFonts w:cs="Arial"/>
                <w:lang w:val="en-NZ"/>
              </w:rPr>
              <w:t>ATNZ</w:t>
            </w:r>
            <w:r w:rsidRPr="0003653F">
              <w:rPr>
                <w:rFonts w:cs="Arial"/>
                <w:lang w:val="en-NZ"/>
              </w:rPr>
              <w:t>; or</w:t>
            </w:r>
          </w:p>
          <w:p w14:paraId="3249CB47" w14:textId="049D369C" w:rsidR="00957181" w:rsidRPr="0003653F" w:rsidRDefault="00957181" w:rsidP="004A4158">
            <w:pPr>
              <w:pStyle w:val="TableBullet1"/>
              <w:numPr>
                <w:ilvl w:val="0"/>
                <w:numId w:val="20"/>
              </w:numPr>
              <w:spacing w:beforeLines="40" w:before="96" w:after="0"/>
              <w:rPr>
                <w:rFonts w:cs="Arial"/>
              </w:rPr>
            </w:pPr>
            <w:r w:rsidRPr="0003653F">
              <w:rPr>
                <w:rFonts w:cs="Arial"/>
                <w:lang w:val="en-NZ"/>
              </w:rPr>
              <w:t xml:space="preserve">participating in any course, programme or training scheme delivered by </w:t>
            </w:r>
            <w:r>
              <w:rPr>
                <w:rFonts w:cs="Arial"/>
                <w:lang w:val="en-NZ"/>
              </w:rPr>
              <w:t>ATNZ</w:t>
            </w:r>
            <w:r w:rsidRPr="0003653F">
              <w:rPr>
                <w:rFonts w:cs="Arial"/>
                <w:lang w:val="en-NZ"/>
              </w:rPr>
              <w:t xml:space="preserve">, </w:t>
            </w:r>
            <w:proofErr w:type="gramStart"/>
            <w:r w:rsidRPr="0003653F">
              <w:rPr>
                <w:rFonts w:cs="Arial"/>
                <w:lang w:val="en-NZ"/>
              </w:rPr>
              <w:t>provided that</w:t>
            </w:r>
            <w:proofErr w:type="gramEnd"/>
            <w:r w:rsidRPr="0003653F">
              <w:rPr>
                <w:rFonts w:cs="Arial"/>
                <w:lang w:val="en-NZ"/>
              </w:rPr>
              <w:t xml:space="preserve"> this does not include a person who is acting solely in a teaching or instructing capacity.</w:t>
            </w:r>
          </w:p>
        </w:tc>
      </w:tr>
      <w:tr w:rsidR="00957181" w:rsidRPr="0003653F" w14:paraId="30566F56" w14:textId="77777777" w:rsidTr="007526FC">
        <w:tc>
          <w:tcPr>
            <w:tcW w:w="2268" w:type="dxa"/>
            <w:shd w:val="clear" w:color="auto" w:fill="auto"/>
          </w:tcPr>
          <w:p w14:paraId="56DD94A2" w14:textId="6114EAE3" w:rsidR="00957181" w:rsidRPr="0003653F" w:rsidRDefault="00957181" w:rsidP="00957181">
            <w:pPr>
              <w:pStyle w:val="TableText"/>
              <w:spacing w:beforeLines="60" w:before="144" w:after="0"/>
              <w:rPr>
                <w:rFonts w:cs="Arial"/>
                <w:b/>
                <w:lang w:val="en-NZ"/>
              </w:rPr>
            </w:pPr>
            <w:r>
              <w:rPr>
                <w:b/>
              </w:rPr>
              <w:t>Learner</w:t>
            </w:r>
            <w:r w:rsidRPr="00B906EF">
              <w:rPr>
                <w:b/>
              </w:rPr>
              <w:t xml:space="preserve"> advocacy</w:t>
            </w:r>
          </w:p>
        </w:tc>
        <w:tc>
          <w:tcPr>
            <w:tcW w:w="7337" w:type="dxa"/>
            <w:shd w:val="clear" w:color="auto" w:fill="auto"/>
          </w:tcPr>
          <w:p w14:paraId="0D9BE2BF" w14:textId="4D637735" w:rsidR="00957181" w:rsidRPr="0003653F" w:rsidRDefault="00957181" w:rsidP="00957181">
            <w:pPr>
              <w:pStyle w:val="TableText"/>
              <w:spacing w:beforeLines="60" w:before="144" w:after="0"/>
              <w:rPr>
                <w:rFonts w:cs="Arial"/>
                <w:lang w:val="en-NZ"/>
              </w:rPr>
            </w:pPr>
            <w:r>
              <w:t>An internal or external person assigned to assist learners with understanding their rights and to follow relevant ATNZ policies and procedures as required.</w:t>
            </w:r>
          </w:p>
        </w:tc>
      </w:tr>
      <w:tr w:rsidR="00957181" w:rsidRPr="0003653F" w14:paraId="79919D0A" w14:textId="77777777" w:rsidTr="007526FC">
        <w:tc>
          <w:tcPr>
            <w:tcW w:w="2268" w:type="dxa"/>
            <w:shd w:val="clear" w:color="auto" w:fill="auto"/>
          </w:tcPr>
          <w:p w14:paraId="7EFA07B0" w14:textId="0C4390EC" w:rsidR="00957181" w:rsidRPr="0003653F" w:rsidRDefault="00957181" w:rsidP="00957181">
            <w:pPr>
              <w:pStyle w:val="TableText"/>
              <w:spacing w:beforeLines="60" w:before="144" w:after="0"/>
              <w:rPr>
                <w:rFonts w:cs="Arial"/>
                <w:b/>
                <w:lang w:val="en-NZ"/>
              </w:rPr>
            </w:pPr>
            <w:r>
              <w:rPr>
                <w:rFonts w:cs="Arial"/>
                <w:b/>
                <w:lang w:val="en-NZ"/>
              </w:rPr>
              <w:t>Learner</w:t>
            </w:r>
            <w:r w:rsidRPr="0003653F">
              <w:rPr>
                <w:rFonts w:cs="Arial"/>
                <w:b/>
                <w:lang w:val="en-NZ"/>
              </w:rPr>
              <w:t xml:space="preserve"> services fee</w:t>
            </w:r>
          </w:p>
        </w:tc>
        <w:tc>
          <w:tcPr>
            <w:tcW w:w="7337" w:type="dxa"/>
            <w:shd w:val="clear" w:color="auto" w:fill="auto"/>
          </w:tcPr>
          <w:p w14:paraId="4FE75AC2" w14:textId="7236C1B4" w:rsidR="00957181" w:rsidRPr="0003653F" w:rsidRDefault="00957181" w:rsidP="004A4158">
            <w:pPr>
              <w:pStyle w:val="TableText"/>
              <w:spacing w:beforeLines="60" w:before="144" w:after="0"/>
              <w:rPr>
                <w:rFonts w:cs="Arial"/>
                <w:lang w:val="en-NZ"/>
              </w:rPr>
            </w:pPr>
            <w:r w:rsidRPr="0003653F">
              <w:rPr>
                <w:rFonts w:cs="Arial"/>
                <w:lang w:val="en-NZ"/>
              </w:rPr>
              <w:t xml:space="preserve">A compulsory charge covering the provision of </w:t>
            </w:r>
            <w:r>
              <w:rPr>
                <w:rFonts w:cs="Arial"/>
                <w:lang w:val="en-NZ"/>
              </w:rPr>
              <w:t>learner</w:t>
            </w:r>
            <w:r w:rsidRPr="0003653F">
              <w:rPr>
                <w:rFonts w:cs="Arial"/>
                <w:lang w:val="en-NZ"/>
              </w:rPr>
              <w:t xml:space="preserve"> services.</w:t>
            </w:r>
          </w:p>
        </w:tc>
      </w:tr>
      <w:tr w:rsidR="00957181" w:rsidRPr="0003653F" w14:paraId="7F214271" w14:textId="77777777" w:rsidTr="007526FC">
        <w:tc>
          <w:tcPr>
            <w:tcW w:w="2268" w:type="dxa"/>
            <w:shd w:val="clear" w:color="auto" w:fill="auto"/>
          </w:tcPr>
          <w:p w14:paraId="62427D4B" w14:textId="2BFFAE15" w:rsidR="00957181" w:rsidRPr="0003653F" w:rsidRDefault="00957181" w:rsidP="00957181">
            <w:pPr>
              <w:pStyle w:val="TableText"/>
              <w:spacing w:beforeLines="60" w:before="144" w:after="0"/>
              <w:rPr>
                <w:rFonts w:cs="Arial"/>
                <w:b/>
                <w:lang w:val="en-NZ"/>
              </w:rPr>
            </w:pPr>
            <w:r>
              <w:rPr>
                <w:b/>
              </w:rPr>
              <w:t>Learner voice</w:t>
            </w:r>
          </w:p>
        </w:tc>
        <w:tc>
          <w:tcPr>
            <w:tcW w:w="7337" w:type="dxa"/>
            <w:shd w:val="clear" w:color="auto" w:fill="auto"/>
          </w:tcPr>
          <w:p w14:paraId="0A69279C" w14:textId="26467468" w:rsidR="00957181" w:rsidRPr="0003653F" w:rsidRDefault="00124FFA" w:rsidP="004A4158">
            <w:pPr>
              <w:pStyle w:val="BlockText"/>
              <w:ind w:left="0"/>
              <w:rPr>
                <w:rFonts w:cs="Arial"/>
                <w:lang w:val="en-NZ"/>
              </w:rPr>
            </w:pPr>
            <w:r>
              <w:t>F</w:t>
            </w:r>
            <w:r w:rsidR="00957181" w:rsidRPr="00901050">
              <w:t xml:space="preserve">eedback from </w:t>
            </w:r>
            <w:r w:rsidR="00957181">
              <w:t>learner</w:t>
            </w:r>
            <w:r w:rsidR="00957181" w:rsidRPr="00901050">
              <w:t>s</w:t>
            </w:r>
            <w:r>
              <w:t xml:space="preserve"> in any form</w:t>
            </w:r>
            <w:r w:rsidR="00957181" w:rsidRPr="00901050">
              <w:t>.</w:t>
            </w:r>
          </w:p>
        </w:tc>
      </w:tr>
      <w:tr w:rsidR="00957181" w:rsidRPr="0003653F" w14:paraId="52D2FEBD" w14:textId="77777777" w:rsidTr="007526FC">
        <w:tc>
          <w:tcPr>
            <w:tcW w:w="2268" w:type="dxa"/>
            <w:shd w:val="clear" w:color="auto" w:fill="auto"/>
          </w:tcPr>
          <w:p w14:paraId="39FEE0C9" w14:textId="77777777" w:rsidR="00957181" w:rsidRPr="0003653F" w:rsidRDefault="00957181" w:rsidP="00957181">
            <w:pPr>
              <w:pStyle w:val="TableText"/>
              <w:spacing w:beforeLines="60" w:before="144" w:after="0"/>
              <w:rPr>
                <w:rFonts w:cs="Arial"/>
                <w:b/>
                <w:lang w:val="en-NZ"/>
              </w:rPr>
            </w:pPr>
            <w:r w:rsidRPr="0003653F">
              <w:rPr>
                <w:rFonts w:cs="Arial"/>
                <w:b/>
                <w:lang w:val="en-NZ"/>
              </w:rPr>
              <w:t>Summative assessment</w:t>
            </w:r>
          </w:p>
        </w:tc>
        <w:tc>
          <w:tcPr>
            <w:tcW w:w="7337" w:type="dxa"/>
            <w:shd w:val="clear" w:color="auto" w:fill="auto"/>
          </w:tcPr>
          <w:p w14:paraId="309EB002" w14:textId="447A5AD3" w:rsidR="00957181" w:rsidRPr="0003653F" w:rsidRDefault="00957181" w:rsidP="004A4158">
            <w:pPr>
              <w:pStyle w:val="TableText"/>
              <w:spacing w:beforeLines="60" w:before="144"/>
              <w:rPr>
                <w:rFonts w:cs="Arial"/>
              </w:rPr>
            </w:pPr>
            <w:r w:rsidRPr="0003653F">
              <w:rPr>
                <w:rFonts w:cs="Arial"/>
                <w:lang w:val="en-NZ"/>
              </w:rPr>
              <w:t xml:space="preserve">A formal assessment event that contributes to a </w:t>
            </w:r>
            <w:r>
              <w:rPr>
                <w:rFonts w:cs="Arial"/>
                <w:lang w:val="en-NZ"/>
              </w:rPr>
              <w:t>learner</w:t>
            </w:r>
            <w:r w:rsidRPr="0003653F">
              <w:rPr>
                <w:rFonts w:cs="Arial"/>
                <w:lang w:val="en-NZ"/>
              </w:rPr>
              <w:t xml:space="preserve">’s final course mark/grade and which has a bearing on whether credit is attained. </w:t>
            </w:r>
          </w:p>
        </w:tc>
      </w:tr>
      <w:tr w:rsidR="00957181" w:rsidRPr="0003653F" w14:paraId="2721682C" w14:textId="77777777" w:rsidTr="007526FC">
        <w:tc>
          <w:tcPr>
            <w:tcW w:w="2268" w:type="dxa"/>
            <w:shd w:val="clear" w:color="auto" w:fill="auto"/>
          </w:tcPr>
          <w:p w14:paraId="1816B8FD" w14:textId="77777777" w:rsidR="00957181" w:rsidRPr="0003653F" w:rsidRDefault="00957181" w:rsidP="00957181">
            <w:pPr>
              <w:pStyle w:val="TableText"/>
              <w:spacing w:beforeLines="60" w:before="144" w:after="0"/>
              <w:rPr>
                <w:rFonts w:cs="Arial"/>
                <w:b/>
                <w:lang w:val="en-NZ"/>
              </w:rPr>
            </w:pPr>
            <w:r w:rsidRPr="0003653F">
              <w:rPr>
                <w:rFonts w:cs="Arial"/>
                <w:b/>
                <w:lang w:val="en-NZ"/>
              </w:rPr>
              <w:t>Suspension</w:t>
            </w:r>
          </w:p>
        </w:tc>
        <w:tc>
          <w:tcPr>
            <w:tcW w:w="7337" w:type="dxa"/>
            <w:shd w:val="clear" w:color="auto" w:fill="auto"/>
          </w:tcPr>
          <w:p w14:paraId="78F69790" w14:textId="0B242748" w:rsidR="00957181" w:rsidRPr="0003653F" w:rsidRDefault="00957181" w:rsidP="004A4158">
            <w:pPr>
              <w:pStyle w:val="TableText"/>
              <w:spacing w:beforeLines="60" w:before="144" w:after="0"/>
              <w:rPr>
                <w:rFonts w:cs="Arial"/>
                <w:lang w:val="en-NZ"/>
              </w:rPr>
            </w:pPr>
            <w:r w:rsidRPr="0003653F">
              <w:rPr>
                <w:rFonts w:cs="Arial"/>
                <w:lang w:val="en-NZ"/>
              </w:rPr>
              <w:t xml:space="preserve">To prevent a </w:t>
            </w:r>
            <w:r>
              <w:rPr>
                <w:rFonts w:cs="Arial"/>
                <w:lang w:val="en-NZ"/>
              </w:rPr>
              <w:t>learner</w:t>
            </w:r>
            <w:r w:rsidRPr="0003653F">
              <w:rPr>
                <w:rFonts w:cs="Arial"/>
                <w:lang w:val="en-NZ"/>
              </w:rPr>
              <w:t xml:space="preserve"> from attending the campus and/or classes at </w:t>
            </w:r>
            <w:r>
              <w:rPr>
                <w:rFonts w:cs="Arial"/>
                <w:lang w:val="en-NZ"/>
              </w:rPr>
              <w:t>ATNZ</w:t>
            </w:r>
            <w:r w:rsidRPr="0003653F">
              <w:rPr>
                <w:rFonts w:cs="Arial"/>
                <w:lang w:val="en-NZ"/>
              </w:rPr>
              <w:t xml:space="preserve"> for a set </w:t>
            </w:r>
            <w:proofErr w:type="gramStart"/>
            <w:r w:rsidRPr="0003653F">
              <w:rPr>
                <w:rFonts w:cs="Arial"/>
                <w:lang w:val="en-NZ"/>
              </w:rPr>
              <w:t>period of time</w:t>
            </w:r>
            <w:proofErr w:type="gramEnd"/>
            <w:r w:rsidRPr="0003653F">
              <w:rPr>
                <w:rFonts w:cs="Arial"/>
                <w:lang w:val="en-NZ"/>
              </w:rPr>
              <w:t xml:space="preserve">.  </w:t>
            </w:r>
          </w:p>
        </w:tc>
      </w:tr>
      <w:tr w:rsidR="00957181" w:rsidRPr="0003653F" w14:paraId="0373712A" w14:textId="77777777" w:rsidTr="007526FC">
        <w:tc>
          <w:tcPr>
            <w:tcW w:w="2268" w:type="dxa"/>
            <w:shd w:val="clear" w:color="auto" w:fill="auto"/>
          </w:tcPr>
          <w:p w14:paraId="60D155F2" w14:textId="77777777" w:rsidR="00957181" w:rsidRPr="0003653F" w:rsidRDefault="00957181" w:rsidP="00957181">
            <w:pPr>
              <w:pStyle w:val="TableText"/>
              <w:spacing w:beforeLines="60" w:before="144" w:after="0"/>
              <w:rPr>
                <w:rFonts w:cs="Arial"/>
                <w:b/>
                <w:lang w:val="en-NZ"/>
              </w:rPr>
            </w:pPr>
            <w:r w:rsidRPr="0003653F">
              <w:rPr>
                <w:rFonts w:cs="Arial"/>
                <w:b/>
                <w:lang w:val="en-NZ"/>
              </w:rPr>
              <w:t>Transfer</w:t>
            </w:r>
          </w:p>
        </w:tc>
        <w:tc>
          <w:tcPr>
            <w:tcW w:w="7337" w:type="dxa"/>
            <w:shd w:val="clear" w:color="auto" w:fill="auto"/>
          </w:tcPr>
          <w:p w14:paraId="413E05DB" w14:textId="07AEEF73" w:rsidR="00957181" w:rsidRPr="0003653F" w:rsidRDefault="00957181" w:rsidP="004A4158">
            <w:pPr>
              <w:pStyle w:val="TableText"/>
              <w:spacing w:beforeLines="60" w:before="144" w:after="0"/>
              <w:rPr>
                <w:rFonts w:cs="Arial"/>
                <w:lang w:val="en-NZ"/>
              </w:rPr>
            </w:pPr>
            <w:r w:rsidRPr="0003653F">
              <w:rPr>
                <w:rFonts w:cs="Arial"/>
                <w:lang w:val="en-NZ"/>
              </w:rPr>
              <w:t>The process of withdrawing from a course, programme, training scheme or institution and moving to another.</w:t>
            </w:r>
          </w:p>
        </w:tc>
      </w:tr>
      <w:tr w:rsidR="00957181" w:rsidRPr="0003653F" w14:paraId="562E9691" w14:textId="77777777" w:rsidTr="007526FC">
        <w:tc>
          <w:tcPr>
            <w:tcW w:w="2268" w:type="dxa"/>
            <w:shd w:val="clear" w:color="auto" w:fill="auto"/>
          </w:tcPr>
          <w:p w14:paraId="7EC8FA1F" w14:textId="77777777" w:rsidR="00957181" w:rsidRPr="0003653F" w:rsidRDefault="00957181" w:rsidP="00957181">
            <w:pPr>
              <w:pStyle w:val="TableText"/>
              <w:spacing w:beforeLines="60" w:before="144" w:after="0"/>
              <w:rPr>
                <w:rFonts w:cs="Arial"/>
                <w:b/>
                <w:lang w:val="en-NZ"/>
              </w:rPr>
            </w:pPr>
            <w:r w:rsidRPr="0003653F">
              <w:rPr>
                <w:rFonts w:cs="Arial"/>
                <w:b/>
                <w:lang w:val="en-NZ"/>
              </w:rPr>
              <w:t>Tuition fees</w:t>
            </w:r>
          </w:p>
        </w:tc>
        <w:tc>
          <w:tcPr>
            <w:tcW w:w="7337" w:type="dxa"/>
            <w:shd w:val="clear" w:color="auto" w:fill="auto"/>
          </w:tcPr>
          <w:p w14:paraId="01F95B42" w14:textId="065B59E7" w:rsidR="00957181" w:rsidRPr="0003653F" w:rsidRDefault="00957181" w:rsidP="004A4158">
            <w:pPr>
              <w:pStyle w:val="TableText"/>
              <w:spacing w:beforeLines="60" w:before="144" w:after="0"/>
              <w:rPr>
                <w:rFonts w:cs="Arial"/>
                <w:lang w:val="en-NZ"/>
              </w:rPr>
            </w:pPr>
            <w:r w:rsidRPr="0003653F">
              <w:rPr>
                <w:rFonts w:cs="Arial"/>
                <w:lang w:val="en-NZ"/>
              </w:rPr>
              <w:t>Teaching related fees (Course fees).</w:t>
            </w:r>
          </w:p>
        </w:tc>
      </w:tr>
      <w:tr w:rsidR="00957181" w:rsidRPr="0003653F" w14:paraId="6B21819B" w14:textId="77777777" w:rsidTr="007526FC">
        <w:tc>
          <w:tcPr>
            <w:tcW w:w="2268" w:type="dxa"/>
            <w:shd w:val="clear" w:color="auto" w:fill="auto"/>
          </w:tcPr>
          <w:p w14:paraId="54531D3B" w14:textId="2CCF9805" w:rsidR="00957181" w:rsidRPr="0003653F" w:rsidRDefault="00957181" w:rsidP="00957181">
            <w:pPr>
              <w:pStyle w:val="TableText"/>
              <w:spacing w:beforeLines="60" w:before="144" w:after="0"/>
              <w:rPr>
                <w:rFonts w:cs="Arial"/>
                <w:b/>
                <w:lang w:val="en-NZ"/>
              </w:rPr>
            </w:pPr>
            <w:r>
              <w:rPr>
                <w:rFonts w:cs="Arial"/>
                <w:b/>
                <w:lang w:val="en-NZ"/>
              </w:rPr>
              <w:t>Assessment</w:t>
            </w:r>
            <w:r w:rsidRPr="0003653F">
              <w:rPr>
                <w:rFonts w:cs="Arial"/>
                <w:b/>
                <w:lang w:val="en-NZ"/>
              </w:rPr>
              <w:t xml:space="preserve"> </w:t>
            </w:r>
            <w:r>
              <w:rPr>
                <w:rFonts w:cs="Arial"/>
                <w:b/>
                <w:lang w:val="en-NZ"/>
              </w:rPr>
              <w:t xml:space="preserve">or Unit </w:t>
            </w:r>
            <w:r w:rsidR="006343CC">
              <w:rPr>
                <w:rFonts w:cs="Arial"/>
                <w:b/>
                <w:lang w:val="en-NZ"/>
              </w:rPr>
              <w:t>S</w:t>
            </w:r>
            <w:r w:rsidRPr="0003653F">
              <w:rPr>
                <w:rFonts w:cs="Arial"/>
                <w:b/>
                <w:lang w:val="en-NZ"/>
              </w:rPr>
              <w:t>tandard</w:t>
            </w:r>
          </w:p>
        </w:tc>
        <w:tc>
          <w:tcPr>
            <w:tcW w:w="7337" w:type="dxa"/>
            <w:shd w:val="clear" w:color="auto" w:fill="auto"/>
          </w:tcPr>
          <w:p w14:paraId="60FD292D" w14:textId="5F33666D" w:rsidR="00957181" w:rsidRPr="0003653F" w:rsidRDefault="00957181" w:rsidP="004A4158">
            <w:pPr>
              <w:pStyle w:val="TableText"/>
              <w:spacing w:beforeLines="60" w:before="144"/>
              <w:rPr>
                <w:rFonts w:cs="Arial"/>
                <w:highlight w:val="green"/>
              </w:rPr>
            </w:pPr>
            <w:r w:rsidRPr="0003653F">
              <w:rPr>
                <w:rFonts w:cs="Arial"/>
                <w:lang w:val="en-NZ"/>
              </w:rPr>
              <w:t xml:space="preserve">A nationally registered, coherent set of learning outcomes and associated performance criteria, together with technical and management information that supports delivery and assessment. All </w:t>
            </w:r>
            <w:r w:rsidR="00545D88">
              <w:rPr>
                <w:rFonts w:cs="Arial"/>
                <w:lang w:val="en-NZ"/>
              </w:rPr>
              <w:t>S</w:t>
            </w:r>
            <w:r w:rsidRPr="0003653F">
              <w:rPr>
                <w:rFonts w:cs="Arial"/>
                <w:lang w:val="en-NZ"/>
              </w:rPr>
              <w:t xml:space="preserve">tandards are registered on the Directory of Assessment Standards </w:t>
            </w:r>
          </w:p>
        </w:tc>
      </w:tr>
      <w:tr w:rsidR="00957181" w:rsidRPr="0003653F" w14:paraId="4364BF7E" w14:textId="77777777" w:rsidTr="007526FC">
        <w:tc>
          <w:tcPr>
            <w:tcW w:w="2268" w:type="dxa"/>
            <w:shd w:val="clear" w:color="auto" w:fill="auto"/>
          </w:tcPr>
          <w:p w14:paraId="7F76047A" w14:textId="77777777" w:rsidR="00957181" w:rsidRPr="0003653F" w:rsidRDefault="00957181" w:rsidP="00957181">
            <w:pPr>
              <w:pStyle w:val="TableText"/>
              <w:spacing w:beforeLines="60" w:before="144" w:after="0"/>
              <w:rPr>
                <w:rFonts w:cs="Arial"/>
                <w:b/>
                <w:lang w:val="en-NZ"/>
              </w:rPr>
            </w:pPr>
            <w:r w:rsidRPr="0003653F">
              <w:rPr>
                <w:rFonts w:cs="Arial"/>
                <w:b/>
                <w:lang w:val="en-NZ"/>
              </w:rPr>
              <w:t>Unsealed award</w:t>
            </w:r>
          </w:p>
        </w:tc>
        <w:tc>
          <w:tcPr>
            <w:tcW w:w="7337" w:type="dxa"/>
            <w:shd w:val="clear" w:color="auto" w:fill="auto"/>
          </w:tcPr>
          <w:p w14:paraId="48CB8972" w14:textId="64EC512D" w:rsidR="00957181" w:rsidRPr="0003653F" w:rsidRDefault="00957181" w:rsidP="004A4158">
            <w:pPr>
              <w:pStyle w:val="TableText"/>
              <w:spacing w:beforeLines="60" w:before="144"/>
              <w:rPr>
                <w:rFonts w:cs="Arial"/>
              </w:rPr>
            </w:pPr>
            <w:r w:rsidRPr="0003653F">
              <w:rPr>
                <w:rFonts w:cs="Arial"/>
                <w:lang w:val="en-NZ"/>
              </w:rPr>
              <w:t xml:space="preserve">Awards to which the </w:t>
            </w:r>
            <w:r w:rsidR="008D0911">
              <w:rPr>
                <w:rFonts w:cs="Arial"/>
                <w:lang w:val="en-NZ"/>
              </w:rPr>
              <w:t>ATNZ</w:t>
            </w:r>
            <w:r w:rsidR="00124FFA">
              <w:rPr>
                <w:rFonts w:cs="Arial"/>
                <w:lang w:val="en-NZ"/>
              </w:rPr>
              <w:t xml:space="preserve">’s </w:t>
            </w:r>
            <w:r w:rsidRPr="0003653F">
              <w:rPr>
                <w:rFonts w:cs="Arial"/>
                <w:lang w:val="en-NZ"/>
              </w:rPr>
              <w:t xml:space="preserve">seal is not affixed. </w:t>
            </w:r>
          </w:p>
        </w:tc>
      </w:tr>
      <w:tr w:rsidR="00957181" w:rsidRPr="0003653F" w14:paraId="4CEFD043" w14:textId="77777777" w:rsidTr="007526FC">
        <w:tc>
          <w:tcPr>
            <w:tcW w:w="2268" w:type="dxa"/>
            <w:shd w:val="clear" w:color="auto" w:fill="auto"/>
          </w:tcPr>
          <w:p w14:paraId="0B131FE4" w14:textId="77777777" w:rsidR="00957181" w:rsidRPr="0003653F" w:rsidRDefault="00957181" w:rsidP="00957181">
            <w:pPr>
              <w:pStyle w:val="TableText"/>
              <w:spacing w:beforeLines="60" w:before="144" w:after="0"/>
              <w:rPr>
                <w:rFonts w:cs="Arial"/>
                <w:b/>
                <w:lang w:val="en-NZ"/>
              </w:rPr>
            </w:pPr>
            <w:r w:rsidRPr="0003653F">
              <w:rPr>
                <w:rFonts w:cs="Arial"/>
                <w:b/>
                <w:lang w:val="en-NZ"/>
              </w:rPr>
              <w:t>Withdrawal</w:t>
            </w:r>
          </w:p>
        </w:tc>
        <w:tc>
          <w:tcPr>
            <w:tcW w:w="7337" w:type="dxa"/>
            <w:shd w:val="clear" w:color="auto" w:fill="auto"/>
          </w:tcPr>
          <w:p w14:paraId="60418748" w14:textId="56564068" w:rsidR="00957181" w:rsidRPr="0003653F" w:rsidRDefault="00957181" w:rsidP="004A4158">
            <w:pPr>
              <w:pStyle w:val="TableText"/>
              <w:spacing w:beforeLines="60" w:before="144" w:after="0"/>
              <w:rPr>
                <w:rFonts w:cs="Arial"/>
                <w:highlight w:val="green"/>
                <w:lang w:val="en-NZ"/>
              </w:rPr>
            </w:pPr>
            <w:r w:rsidRPr="0003653F">
              <w:rPr>
                <w:rFonts w:cs="Arial"/>
                <w:lang w:val="en-NZ"/>
              </w:rPr>
              <w:t xml:space="preserve">When a </w:t>
            </w:r>
            <w:r>
              <w:rPr>
                <w:rFonts w:cs="Arial"/>
                <w:lang w:val="en-NZ"/>
              </w:rPr>
              <w:t>learner</w:t>
            </w:r>
            <w:r w:rsidRPr="0003653F">
              <w:rPr>
                <w:rFonts w:cs="Arial"/>
                <w:lang w:val="en-NZ"/>
              </w:rPr>
              <w:t xml:space="preserve"> has stopped attending a course and has submitted an </w:t>
            </w:r>
            <w:r>
              <w:rPr>
                <w:rFonts w:cs="Arial"/>
                <w:i/>
                <w:lang w:val="en-NZ"/>
              </w:rPr>
              <w:t>ATNZ</w:t>
            </w:r>
            <w:r w:rsidRPr="0003653F">
              <w:rPr>
                <w:rFonts w:cs="Arial"/>
                <w:i/>
                <w:lang w:val="en-NZ"/>
              </w:rPr>
              <w:t xml:space="preserve"> Withdrawal and Transfer Application</w:t>
            </w:r>
            <w:r w:rsidRPr="0003653F">
              <w:rPr>
                <w:rFonts w:cs="Arial"/>
                <w:lang w:val="en-NZ"/>
              </w:rPr>
              <w:t xml:space="preserve"> form or has been withdrawn by </w:t>
            </w:r>
            <w:r>
              <w:rPr>
                <w:rFonts w:cs="Arial"/>
                <w:lang w:val="en-NZ"/>
              </w:rPr>
              <w:t>ATNZ</w:t>
            </w:r>
            <w:r w:rsidRPr="0003653F">
              <w:rPr>
                <w:rFonts w:cs="Arial"/>
                <w:lang w:val="en-NZ"/>
              </w:rPr>
              <w:t>.</w:t>
            </w:r>
          </w:p>
        </w:tc>
      </w:tr>
    </w:tbl>
    <w:p w14:paraId="271584E4" w14:textId="77777777" w:rsidR="00354430" w:rsidRDefault="00354430" w:rsidP="00354430">
      <w:pPr>
        <w:rPr>
          <w:rFonts w:ascii="Arial" w:hAnsi="Arial" w:cs="Arial"/>
          <w:b/>
          <w:sz w:val="20"/>
          <w:szCs w:val="20"/>
        </w:rPr>
      </w:pPr>
    </w:p>
    <w:p w14:paraId="607029D8" w14:textId="6E5344CF" w:rsidR="0003653F" w:rsidRDefault="00957181" w:rsidP="00957181">
      <w:r w:rsidRPr="00112513">
        <w:t xml:space="preserve"> </w:t>
      </w:r>
    </w:p>
    <w:p w14:paraId="525D07F4" w14:textId="77777777" w:rsidR="006D0BB8" w:rsidRDefault="006D0BB8" w:rsidP="00957181"/>
    <w:p w14:paraId="2F5591FA" w14:textId="77777777" w:rsidR="009F788C" w:rsidRPr="00AD59C9" w:rsidRDefault="009F788C" w:rsidP="009F788C">
      <w:pPr>
        <w:rPr>
          <w:rFonts w:ascii="Arial" w:hAnsi="Arial" w:cs="Arial"/>
          <w:b/>
          <w:bCs/>
          <w:sz w:val="20"/>
          <w:szCs w:val="20"/>
        </w:rPr>
      </w:pPr>
      <w:r w:rsidRPr="00AD59C9">
        <w:rPr>
          <w:rFonts w:ascii="Arial" w:hAnsi="Arial" w:cs="Arial"/>
          <w:b/>
          <w:bCs/>
          <w:sz w:val="20"/>
          <w:szCs w:val="20"/>
        </w:rPr>
        <w:t>Amendment History</w:t>
      </w:r>
    </w:p>
    <w:tbl>
      <w:tblPr>
        <w:tblStyle w:val="TableGrid"/>
        <w:tblW w:w="9776" w:type="dxa"/>
        <w:tblLook w:val="04A0" w:firstRow="1" w:lastRow="0" w:firstColumn="1" w:lastColumn="0" w:noHBand="0" w:noVBand="1"/>
      </w:tblPr>
      <w:tblGrid>
        <w:gridCol w:w="1217"/>
        <w:gridCol w:w="1062"/>
        <w:gridCol w:w="7497"/>
      </w:tblGrid>
      <w:tr w:rsidR="009F788C" w:rsidRPr="00AD59C9" w14:paraId="48B623D4" w14:textId="77777777" w:rsidTr="009F788C">
        <w:tc>
          <w:tcPr>
            <w:tcW w:w="1217" w:type="dxa"/>
          </w:tcPr>
          <w:p w14:paraId="00CDF7E5" w14:textId="77777777" w:rsidR="009F788C" w:rsidRPr="00AD59C9" w:rsidRDefault="009F788C" w:rsidP="00B2641B">
            <w:pPr>
              <w:numPr>
                <w:ilvl w:val="2"/>
                <w:numId w:val="0"/>
              </w:numPr>
              <w:tabs>
                <w:tab w:val="num" w:pos="360"/>
              </w:tabs>
              <w:spacing w:before="240" w:after="120"/>
              <w:rPr>
                <w:rFonts w:ascii="Arial" w:eastAsia="Times New Roman" w:hAnsi="Arial" w:cs="Arial"/>
                <w:color w:val="000000" w:themeColor="text1"/>
                <w:sz w:val="20"/>
                <w:szCs w:val="20"/>
                <w:lang w:val="en-US"/>
              </w:rPr>
            </w:pPr>
            <w:r w:rsidRPr="00AD59C9">
              <w:rPr>
                <w:rFonts w:ascii="Arial" w:eastAsia="Times New Roman" w:hAnsi="Arial" w:cs="Arial"/>
                <w:color w:val="000000" w:themeColor="text1"/>
                <w:sz w:val="20"/>
                <w:szCs w:val="20"/>
                <w:lang w:val="en-US"/>
              </w:rPr>
              <w:t>Date of Change</w:t>
            </w:r>
          </w:p>
        </w:tc>
        <w:tc>
          <w:tcPr>
            <w:tcW w:w="1062" w:type="dxa"/>
          </w:tcPr>
          <w:p w14:paraId="78ABB805" w14:textId="77777777" w:rsidR="009F788C" w:rsidRPr="00AD59C9" w:rsidRDefault="009F788C" w:rsidP="00B2641B">
            <w:pPr>
              <w:numPr>
                <w:ilvl w:val="2"/>
                <w:numId w:val="0"/>
              </w:numPr>
              <w:tabs>
                <w:tab w:val="num" w:pos="360"/>
              </w:tabs>
              <w:spacing w:before="240" w:after="120"/>
              <w:rPr>
                <w:rFonts w:ascii="Arial" w:eastAsia="Times New Roman" w:hAnsi="Arial" w:cs="Arial"/>
                <w:color w:val="000000" w:themeColor="text1"/>
                <w:sz w:val="20"/>
                <w:szCs w:val="20"/>
                <w:lang w:val="en-US"/>
              </w:rPr>
            </w:pPr>
            <w:r w:rsidRPr="00AD59C9">
              <w:rPr>
                <w:rFonts w:ascii="Arial" w:eastAsia="Times New Roman" w:hAnsi="Arial" w:cs="Arial"/>
                <w:color w:val="000000" w:themeColor="text1"/>
                <w:sz w:val="20"/>
                <w:szCs w:val="20"/>
                <w:lang w:val="en-US"/>
              </w:rPr>
              <w:t>Effective date</w:t>
            </w:r>
          </w:p>
        </w:tc>
        <w:tc>
          <w:tcPr>
            <w:tcW w:w="7497" w:type="dxa"/>
          </w:tcPr>
          <w:p w14:paraId="6EBFA1FC" w14:textId="77777777" w:rsidR="009F788C" w:rsidRPr="00AD59C9" w:rsidRDefault="009F788C" w:rsidP="00B2641B">
            <w:pPr>
              <w:numPr>
                <w:ilvl w:val="2"/>
                <w:numId w:val="0"/>
              </w:numPr>
              <w:tabs>
                <w:tab w:val="num" w:pos="360"/>
              </w:tabs>
              <w:spacing w:before="240" w:after="120"/>
              <w:rPr>
                <w:rFonts w:ascii="Arial" w:eastAsia="Times New Roman" w:hAnsi="Arial" w:cs="Arial"/>
                <w:color w:val="000000" w:themeColor="text1"/>
                <w:sz w:val="20"/>
                <w:szCs w:val="20"/>
                <w:lang w:val="en-US"/>
              </w:rPr>
            </w:pPr>
            <w:r w:rsidRPr="00AD59C9">
              <w:rPr>
                <w:rFonts w:ascii="Arial" w:eastAsia="Times New Roman" w:hAnsi="Arial" w:cs="Arial"/>
                <w:color w:val="000000" w:themeColor="text1"/>
                <w:sz w:val="20"/>
                <w:szCs w:val="20"/>
                <w:lang w:val="en-US"/>
              </w:rPr>
              <w:t>Details of Amendments</w:t>
            </w:r>
          </w:p>
        </w:tc>
      </w:tr>
      <w:tr w:rsidR="009F788C" w:rsidRPr="00AD59C9" w14:paraId="4DF3FF38" w14:textId="77777777" w:rsidTr="009F788C">
        <w:tc>
          <w:tcPr>
            <w:tcW w:w="1217" w:type="dxa"/>
          </w:tcPr>
          <w:p w14:paraId="0E89496B" w14:textId="77777777" w:rsidR="009F788C" w:rsidRPr="00AD59C9" w:rsidRDefault="009F788C" w:rsidP="00B2641B">
            <w:pPr>
              <w:numPr>
                <w:ilvl w:val="2"/>
                <w:numId w:val="0"/>
              </w:numPr>
              <w:tabs>
                <w:tab w:val="num" w:pos="360"/>
              </w:tabs>
              <w:spacing w:before="240" w:after="120"/>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lastRenderedPageBreak/>
              <w:t>21/11/2023</w:t>
            </w:r>
          </w:p>
        </w:tc>
        <w:tc>
          <w:tcPr>
            <w:tcW w:w="1062" w:type="dxa"/>
          </w:tcPr>
          <w:p w14:paraId="43D259B3" w14:textId="77777777" w:rsidR="009F788C" w:rsidRPr="00AD59C9" w:rsidRDefault="009F788C" w:rsidP="00B2641B">
            <w:pPr>
              <w:numPr>
                <w:ilvl w:val="2"/>
                <w:numId w:val="0"/>
              </w:numPr>
              <w:tabs>
                <w:tab w:val="num" w:pos="360"/>
              </w:tabs>
              <w:spacing w:before="240" w:after="120"/>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1/1/2024</w:t>
            </w:r>
          </w:p>
        </w:tc>
        <w:tc>
          <w:tcPr>
            <w:tcW w:w="7497" w:type="dxa"/>
          </w:tcPr>
          <w:p w14:paraId="77C7FAF8" w14:textId="77777777" w:rsidR="009F788C" w:rsidRPr="00AD59C9" w:rsidRDefault="009F788C" w:rsidP="00B2641B">
            <w:pPr>
              <w:numPr>
                <w:ilvl w:val="2"/>
                <w:numId w:val="0"/>
              </w:numPr>
              <w:tabs>
                <w:tab w:val="num" w:pos="360"/>
              </w:tabs>
              <w:spacing w:before="240" w:after="120"/>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 xml:space="preserve">Minor changes to position titles, removing references to Training Schemes and accommodating NZQA approved </w:t>
            </w:r>
            <w:proofErr w:type="spellStart"/>
            <w:r>
              <w:rPr>
                <w:rFonts w:ascii="Arial" w:eastAsia="Times New Roman" w:hAnsi="Arial" w:cs="Arial"/>
                <w:color w:val="000000" w:themeColor="text1"/>
                <w:sz w:val="20"/>
                <w:szCs w:val="20"/>
                <w:lang w:val="en-US"/>
              </w:rPr>
              <w:t>microcredentials</w:t>
            </w:r>
            <w:proofErr w:type="spellEnd"/>
            <w:r>
              <w:rPr>
                <w:rFonts w:ascii="Arial" w:eastAsia="Times New Roman" w:hAnsi="Arial" w:cs="Arial"/>
                <w:color w:val="000000" w:themeColor="text1"/>
                <w:sz w:val="20"/>
                <w:szCs w:val="20"/>
                <w:lang w:val="en-US"/>
              </w:rPr>
              <w:t xml:space="preserve"> </w:t>
            </w:r>
          </w:p>
        </w:tc>
      </w:tr>
    </w:tbl>
    <w:p w14:paraId="3F0E225D" w14:textId="77777777" w:rsidR="009F788C" w:rsidRDefault="009F788C" w:rsidP="009F788C">
      <w:pPr>
        <w:pStyle w:val="BlockNumber"/>
        <w:numPr>
          <w:ilvl w:val="0"/>
          <w:numId w:val="0"/>
        </w:numPr>
        <w:ind w:left="2292"/>
      </w:pPr>
    </w:p>
    <w:p w14:paraId="1C492906" w14:textId="77777777" w:rsidR="009F788C" w:rsidRDefault="009F788C" w:rsidP="009F788C">
      <w:pPr>
        <w:pStyle w:val="BlockNumber"/>
        <w:numPr>
          <w:ilvl w:val="0"/>
          <w:numId w:val="0"/>
        </w:numPr>
        <w:ind w:left="2292"/>
      </w:pPr>
      <w:r>
        <w:t xml:space="preserve">  </w:t>
      </w:r>
    </w:p>
    <w:p w14:paraId="3DAA89A9" w14:textId="77777777" w:rsidR="006D0BB8" w:rsidRDefault="006D0BB8" w:rsidP="00957181"/>
    <w:p w14:paraId="35E31613" w14:textId="77777777" w:rsidR="006D0BB8" w:rsidRPr="00112513" w:rsidRDefault="006D0BB8" w:rsidP="00957181"/>
    <w:sectPr w:rsidR="006D0BB8" w:rsidRPr="00112513" w:rsidSect="00C35758">
      <w:pgSz w:w="11907" w:h="16840" w:code="9"/>
      <w:pgMar w:top="1843" w:right="1140" w:bottom="561" w:left="1140" w:header="567"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A6A3" w14:textId="77777777" w:rsidR="00F66F3D" w:rsidRDefault="00F66F3D" w:rsidP="00CD3903">
      <w:pPr>
        <w:pStyle w:val="DocumentTitle"/>
      </w:pPr>
      <w:r>
        <w:separator/>
      </w:r>
    </w:p>
  </w:endnote>
  <w:endnote w:type="continuationSeparator" w:id="0">
    <w:p w14:paraId="11FBE982" w14:textId="77777777" w:rsidR="00F66F3D" w:rsidRDefault="00F66F3D" w:rsidP="00CD3903">
      <w:pPr>
        <w:pStyle w:val="Document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B0BA" w14:textId="77777777" w:rsidR="00AD45C0" w:rsidRDefault="00AD45C0" w:rsidP="00CD3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4A088CF0" w14:textId="77777777" w:rsidR="00AD45C0" w:rsidRDefault="00AD45C0" w:rsidP="00CD3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490" w:type="dxa"/>
      <w:tblLook w:val="04A0" w:firstRow="1" w:lastRow="0" w:firstColumn="1" w:lastColumn="0" w:noHBand="0" w:noVBand="1"/>
    </w:tblPr>
    <w:tblGrid>
      <w:gridCol w:w="1134"/>
      <w:gridCol w:w="7797"/>
      <w:gridCol w:w="1559"/>
    </w:tblGrid>
    <w:tr w:rsidR="00C320A2" w:rsidRPr="00C320A2" w14:paraId="41D5E04B" w14:textId="77777777" w:rsidTr="00232240">
      <w:tc>
        <w:tcPr>
          <w:tcW w:w="1134" w:type="dxa"/>
          <w:tcBorders>
            <w:top w:val="nil"/>
            <w:left w:val="nil"/>
            <w:bottom w:val="nil"/>
            <w:right w:val="nil"/>
          </w:tcBorders>
        </w:tcPr>
        <w:p w14:paraId="754479FE" w14:textId="65BF60EE" w:rsidR="00C320A2" w:rsidRPr="00C320A2" w:rsidRDefault="00061E32" w:rsidP="00C320A2">
          <w:pPr>
            <w:rPr>
              <w:sz w:val="18"/>
              <w:szCs w:val="18"/>
            </w:rPr>
          </w:pPr>
          <w:r>
            <w:rPr>
              <w:sz w:val="18"/>
              <w:szCs w:val="18"/>
            </w:rPr>
            <w:t>Nov</w:t>
          </w:r>
          <w:r w:rsidR="004937CD">
            <w:rPr>
              <w:sz w:val="18"/>
              <w:szCs w:val="18"/>
            </w:rPr>
            <w:t xml:space="preserve"> 2023</w:t>
          </w:r>
        </w:p>
        <w:p w14:paraId="5F0909E5" w14:textId="77777777" w:rsidR="00C320A2" w:rsidRPr="00C320A2" w:rsidRDefault="00C320A2" w:rsidP="00C320A2">
          <w:pPr>
            <w:rPr>
              <w:sz w:val="18"/>
              <w:szCs w:val="18"/>
            </w:rPr>
          </w:pPr>
        </w:p>
      </w:tc>
      <w:tc>
        <w:tcPr>
          <w:tcW w:w="7797" w:type="dxa"/>
          <w:tcBorders>
            <w:top w:val="nil"/>
            <w:left w:val="nil"/>
            <w:bottom w:val="nil"/>
            <w:right w:val="nil"/>
          </w:tcBorders>
        </w:tcPr>
        <w:p w14:paraId="78CD8382" w14:textId="500CC6F1" w:rsidR="00C320A2" w:rsidRPr="00C320A2" w:rsidRDefault="00C320A2" w:rsidP="00C320A2">
          <w:pPr>
            <w:rPr>
              <w:sz w:val="18"/>
              <w:szCs w:val="18"/>
            </w:rPr>
          </w:pPr>
          <w:r w:rsidRPr="00C320A2">
            <w:rPr>
              <w:sz w:val="18"/>
              <w:szCs w:val="18"/>
            </w:rPr>
            <w:t>The only authorised and controlled version</w:t>
          </w:r>
          <w:r>
            <w:rPr>
              <w:sz w:val="18"/>
              <w:szCs w:val="18"/>
            </w:rPr>
            <w:t>s</w:t>
          </w:r>
          <w:r w:rsidRPr="00C320A2">
            <w:rPr>
              <w:sz w:val="18"/>
              <w:szCs w:val="18"/>
            </w:rPr>
            <w:t xml:space="preserve"> of these </w:t>
          </w:r>
          <w:r w:rsidR="00C35758">
            <w:rPr>
              <w:sz w:val="18"/>
              <w:szCs w:val="18"/>
            </w:rPr>
            <w:t xml:space="preserve">Learner </w:t>
          </w:r>
          <w:r w:rsidRPr="00C320A2">
            <w:rPr>
              <w:sz w:val="18"/>
              <w:szCs w:val="18"/>
            </w:rPr>
            <w:t>Regulations exist in the QMS Teams Channel</w:t>
          </w:r>
          <w:r w:rsidR="00C35758">
            <w:rPr>
              <w:sz w:val="18"/>
              <w:szCs w:val="18"/>
            </w:rPr>
            <w:t xml:space="preserve"> and the Learner Portal</w:t>
          </w:r>
          <w:r w:rsidRPr="00C320A2">
            <w:rPr>
              <w:sz w:val="18"/>
              <w:szCs w:val="18"/>
            </w:rPr>
            <w:t xml:space="preserve">. Printed or copied digital files of this are unauthorised, uncontrolled and must not be used. </w:t>
          </w:r>
        </w:p>
      </w:tc>
      <w:tc>
        <w:tcPr>
          <w:tcW w:w="1559" w:type="dxa"/>
          <w:tcBorders>
            <w:top w:val="nil"/>
            <w:left w:val="nil"/>
            <w:bottom w:val="nil"/>
            <w:right w:val="nil"/>
          </w:tcBorders>
        </w:tcPr>
        <w:sdt>
          <w:sdtPr>
            <w:rPr>
              <w:sz w:val="22"/>
              <w:szCs w:val="22"/>
            </w:rPr>
            <w:id w:val="-435207981"/>
            <w:docPartObj>
              <w:docPartGallery w:val="Page Numbers (Top of Page)"/>
              <w:docPartUnique/>
            </w:docPartObj>
          </w:sdtPr>
          <w:sdtEndPr/>
          <w:sdtContent>
            <w:p w14:paraId="7F3B12F3" w14:textId="77777777" w:rsidR="00C320A2" w:rsidRPr="00C320A2" w:rsidRDefault="00C320A2" w:rsidP="00C320A2">
              <w:pPr>
                <w:tabs>
                  <w:tab w:val="center" w:pos="4513"/>
                  <w:tab w:val="right" w:pos="9026"/>
                </w:tabs>
                <w:jc w:val="right"/>
                <w:rPr>
                  <w:sz w:val="22"/>
                  <w:szCs w:val="22"/>
                </w:rPr>
              </w:pPr>
              <w:r w:rsidRPr="00C320A2">
                <w:rPr>
                  <w:sz w:val="22"/>
                  <w:szCs w:val="22"/>
                </w:rPr>
                <w:t xml:space="preserve">Page </w:t>
              </w:r>
              <w:r w:rsidRPr="00C320A2">
                <w:rPr>
                  <w:b/>
                  <w:bCs/>
                </w:rPr>
                <w:fldChar w:fldCharType="begin"/>
              </w:r>
              <w:r w:rsidRPr="00C320A2">
                <w:rPr>
                  <w:b/>
                  <w:bCs/>
                  <w:sz w:val="22"/>
                  <w:szCs w:val="22"/>
                </w:rPr>
                <w:instrText xml:space="preserve"> PAGE </w:instrText>
              </w:r>
              <w:r w:rsidRPr="00C320A2">
                <w:rPr>
                  <w:b/>
                  <w:bCs/>
                </w:rPr>
                <w:fldChar w:fldCharType="separate"/>
              </w:r>
              <w:r w:rsidRPr="00C320A2">
                <w:rPr>
                  <w:b/>
                  <w:bCs/>
                  <w:noProof/>
                  <w:sz w:val="22"/>
                  <w:szCs w:val="22"/>
                </w:rPr>
                <w:t>8</w:t>
              </w:r>
              <w:r w:rsidRPr="00C320A2">
                <w:rPr>
                  <w:b/>
                  <w:bCs/>
                </w:rPr>
                <w:fldChar w:fldCharType="end"/>
              </w:r>
              <w:r w:rsidRPr="00C320A2">
                <w:rPr>
                  <w:sz w:val="22"/>
                  <w:szCs w:val="22"/>
                </w:rPr>
                <w:t xml:space="preserve"> of </w:t>
              </w:r>
              <w:r w:rsidRPr="00C320A2">
                <w:rPr>
                  <w:b/>
                  <w:bCs/>
                </w:rPr>
                <w:fldChar w:fldCharType="begin"/>
              </w:r>
              <w:r w:rsidRPr="00C320A2">
                <w:rPr>
                  <w:b/>
                  <w:bCs/>
                  <w:sz w:val="22"/>
                  <w:szCs w:val="22"/>
                </w:rPr>
                <w:instrText xml:space="preserve"> NUMPAGES  </w:instrText>
              </w:r>
              <w:r w:rsidRPr="00C320A2">
                <w:rPr>
                  <w:b/>
                  <w:bCs/>
                </w:rPr>
                <w:fldChar w:fldCharType="separate"/>
              </w:r>
              <w:r w:rsidRPr="00C320A2">
                <w:rPr>
                  <w:b/>
                  <w:bCs/>
                  <w:noProof/>
                  <w:sz w:val="22"/>
                  <w:szCs w:val="22"/>
                </w:rPr>
                <w:t>23</w:t>
              </w:r>
              <w:r w:rsidRPr="00C320A2">
                <w:rPr>
                  <w:b/>
                  <w:bCs/>
                </w:rPr>
                <w:fldChar w:fldCharType="end"/>
              </w:r>
            </w:p>
          </w:sdtContent>
        </w:sdt>
        <w:p w14:paraId="1852F6E1" w14:textId="77777777" w:rsidR="00C320A2" w:rsidRPr="00C320A2" w:rsidRDefault="00C320A2" w:rsidP="00C320A2">
          <w:pPr>
            <w:rPr>
              <w:sz w:val="18"/>
              <w:szCs w:val="18"/>
            </w:rPr>
          </w:pPr>
        </w:p>
      </w:tc>
    </w:tr>
  </w:tbl>
  <w:p w14:paraId="1D85E6DE" w14:textId="2A587B20" w:rsidR="00AD45C0" w:rsidRDefault="00AD45C0" w:rsidP="00CD39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FA4D" w14:textId="77777777" w:rsidR="00F66F3D" w:rsidRDefault="00F66F3D" w:rsidP="00CD3903">
      <w:pPr>
        <w:pStyle w:val="DocumentTitle"/>
      </w:pPr>
      <w:r>
        <w:separator/>
      </w:r>
    </w:p>
  </w:footnote>
  <w:footnote w:type="continuationSeparator" w:id="0">
    <w:p w14:paraId="32087F87" w14:textId="77777777" w:rsidR="00F66F3D" w:rsidRDefault="00F66F3D" w:rsidP="00CD3903">
      <w:pPr>
        <w:pStyle w:val="DocumentTitle"/>
      </w:pPr>
      <w:r>
        <w:continuationSeparator/>
      </w:r>
    </w:p>
  </w:footnote>
  <w:footnote w:id="1">
    <w:p w14:paraId="7C8D406F" w14:textId="77777777" w:rsidR="00AD45C0" w:rsidRPr="00B53474" w:rsidRDefault="00AD45C0">
      <w:pPr>
        <w:pStyle w:val="FootnoteText"/>
        <w:rPr>
          <w:sz w:val="16"/>
          <w:szCs w:val="16"/>
          <w:lang w:val="en-US"/>
        </w:rPr>
      </w:pPr>
      <w:r>
        <w:rPr>
          <w:rStyle w:val="FootnoteReference"/>
        </w:rPr>
        <w:footnoteRef/>
      </w:r>
      <w:r>
        <w:t xml:space="preserve"> </w:t>
      </w:r>
      <w:r w:rsidRPr="00B53474">
        <w:rPr>
          <w:sz w:val="16"/>
          <w:szCs w:val="16"/>
          <w:lang w:val="en-US"/>
        </w:rPr>
        <w:t>Forms may be signed either in person or, when enrolling online, through the inclusion of an electronic signature (see section 21: Glossary for a definition of electronic signature).</w:t>
      </w:r>
    </w:p>
  </w:footnote>
  <w:footnote w:id="2">
    <w:p w14:paraId="51EDD616" w14:textId="77777777" w:rsidR="00AD45C0" w:rsidRPr="006615F6" w:rsidRDefault="00AD45C0">
      <w:pPr>
        <w:pStyle w:val="FootnoteText"/>
        <w:rPr>
          <w:lang w:val="en-US"/>
        </w:rPr>
      </w:pPr>
      <w:r>
        <w:rPr>
          <w:rStyle w:val="FootnoteReference"/>
        </w:rPr>
        <w:footnoteRef/>
      </w:r>
      <w:r>
        <w:t xml:space="preserve"> </w:t>
      </w:r>
      <w:r w:rsidRPr="00B53474">
        <w:rPr>
          <w:sz w:val="16"/>
          <w:szCs w:val="16"/>
          <w:lang w:val="en-US"/>
        </w:rPr>
        <w:t>Forms may be signed either in person or, when enrolling online, through the inclusion of an electronic signature (see section 21: Glossary for a definition of electronic signature).</w:t>
      </w:r>
    </w:p>
  </w:footnote>
  <w:footnote w:id="3">
    <w:p w14:paraId="2C3AFC42" w14:textId="119EAB14" w:rsidR="00AD45C0" w:rsidRPr="00B53474" w:rsidRDefault="00AD45C0">
      <w:pPr>
        <w:pStyle w:val="FootnoteText"/>
        <w:rPr>
          <w:sz w:val="16"/>
          <w:szCs w:val="16"/>
        </w:rPr>
      </w:pPr>
      <w:r w:rsidRPr="00B53474">
        <w:rPr>
          <w:rStyle w:val="FootnoteReference"/>
          <w:sz w:val="16"/>
          <w:szCs w:val="16"/>
        </w:rPr>
        <w:footnoteRef/>
      </w:r>
      <w:r w:rsidRPr="00B53474">
        <w:rPr>
          <w:sz w:val="16"/>
          <w:szCs w:val="16"/>
        </w:rPr>
        <w:t xml:space="preserve"> </w:t>
      </w:r>
      <w:r w:rsidRPr="00B53474">
        <w:rPr>
          <w:i/>
          <w:sz w:val="16"/>
          <w:szCs w:val="16"/>
        </w:rPr>
        <w:t xml:space="preserve">Instalment Application </w:t>
      </w:r>
      <w:r w:rsidRPr="009C4297">
        <w:rPr>
          <w:sz w:val="16"/>
          <w:szCs w:val="16"/>
        </w:rPr>
        <w:t>forms</w:t>
      </w:r>
      <w:r w:rsidRPr="00B53474">
        <w:rPr>
          <w:sz w:val="16"/>
          <w:szCs w:val="16"/>
        </w:rPr>
        <w:t xml:space="preserve"> for domestic </w:t>
      </w:r>
      <w:r w:rsidR="00893B2F">
        <w:rPr>
          <w:sz w:val="16"/>
          <w:szCs w:val="16"/>
        </w:rPr>
        <w:t>learner</w:t>
      </w:r>
      <w:r w:rsidRPr="00B53474">
        <w:rPr>
          <w:sz w:val="16"/>
          <w:szCs w:val="16"/>
        </w:rPr>
        <w:t>s are available from the</w:t>
      </w:r>
      <w:r w:rsidR="00A052A9">
        <w:rPr>
          <w:sz w:val="16"/>
          <w:szCs w:val="16"/>
        </w:rPr>
        <w:t xml:space="preserve"> website</w:t>
      </w:r>
      <w:r w:rsidRPr="00B53474">
        <w:rPr>
          <w:sz w:val="16"/>
          <w:szCs w:val="16"/>
        </w:rPr>
        <w:t xml:space="preserve">.  Completed forms must be submitted </w:t>
      </w:r>
      <w:r w:rsidR="00A052A9">
        <w:rPr>
          <w:sz w:val="16"/>
          <w:szCs w:val="16"/>
        </w:rPr>
        <w:t>by email</w:t>
      </w:r>
      <w:r w:rsidRPr="00B53474">
        <w:rPr>
          <w:sz w:val="16"/>
          <w:szCs w:val="16"/>
        </w:rPr>
        <w:t>.</w:t>
      </w:r>
    </w:p>
  </w:footnote>
  <w:footnote w:id="4">
    <w:p w14:paraId="6DEC49E3" w14:textId="61DFB0B9" w:rsidR="00AD45C0" w:rsidRPr="00242026" w:rsidRDefault="00AD45C0" w:rsidP="00805197">
      <w:pPr>
        <w:pStyle w:val="FootnoteText"/>
        <w:rPr>
          <w:sz w:val="16"/>
          <w:szCs w:val="16"/>
        </w:rPr>
      </w:pPr>
      <w:r>
        <w:rPr>
          <w:rStyle w:val="FootnoteReference"/>
        </w:rPr>
        <w:footnoteRef/>
      </w:r>
      <w:r>
        <w:t xml:space="preserve"> </w:t>
      </w:r>
      <w:r w:rsidRPr="00242026">
        <w:rPr>
          <w:i/>
          <w:sz w:val="16"/>
          <w:szCs w:val="16"/>
        </w:rPr>
        <w:t xml:space="preserve">Withdrawal </w:t>
      </w:r>
      <w:r w:rsidRPr="009C4297">
        <w:rPr>
          <w:sz w:val="16"/>
          <w:szCs w:val="16"/>
        </w:rPr>
        <w:t xml:space="preserve">forms </w:t>
      </w:r>
      <w:r>
        <w:rPr>
          <w:sz w:val="16"/>
          <w:szCs w:val="16"/>
        </w:rPr>
        <w:t xml:space="preserve">are </w:t>
      </w:r>
      <w:r w:rsidRPr="00242026">
        <w:rPr>
          <w:sz w:val="16"/>
          <w:szCs w:val="16"/>
        </w:rPr>
        <w:t>a</w:t>
      </w:r>
      <w:r>
        <w:rPr>
          <w:sz w:val="16"/>
          <w:szCs w:val="16"/>
        </w:rPr>
        <w:t>vail</w:t>
      </w:r>
      <w:r w:rsidRPr="00242026">
        <w:rPr>
          <w:sz w:val="16"/>
          <w:szCs w:val="16"/>
        </w:rPr>
        <w:t xml:space="preserve">able from </w:t>
      </w:r>
      <w:r w:rsidR="00157E10">
        <w:rPr>
          <w:sz w:val="16"/>
          <w:szCs w:val="16"/>
        </w:rPr>
        <w:t xml:space="preserve">the ATNZ website. </w:t>
      </w:r>
      <w:r w:rsidRPr="00242026">
        <w:rPr>
          <w:sz w:val="16"/>
          <w:szCs w:val="16"/>
        </w:rPr>
        <w:t xml:space="preserve">Completed forms must be submitted </w:t>
      </w:r>
      <w:r w:rsidR="00157E10">
        <w:rPr>
          <w:sz w:val="16"/>
          <w:szCs w:val="16"/>
        </w:rPr>
        <w:t xml:space="preserve">via email.  </w:t>
      </w:r>
    </w:p>
    <w:p w14:paraId="1CDB8879" w14:textId="77777777" w:rsidR="00AD45C0" w:rsidRPr="00831E1D" w:rsidRDefault="00AD45C0" w:rsidP="00805197">
      <w:pPr>
        <w:pStyle w:val="FootnoteText"/>
        <w:rPr>
          <w:sz w:val="18"/>
          <w:szCs w:val="18"/>
        </w:rPr>
      </w:pPr>
    </w:p>
    <w:p w14:paraId="2D0F38F0" w14:textId="77777777" w:rsidR="00AD45C0" w:rsidRDefault="00AD45C0" w:rsidP="00805197">
      <w:pPr>
        <w:pStyle w:val="FootnoteText"/>
      </w:pPr>
    </w:p>
  </w:footnote>
  <w:footnote w:id="5">
    <w:p w14:paraId="3C0824C2" w14:textId="0234E801" w:rsidR="00AD45C0" w:rsidRDefault="00AD45C0" w:rsidP="006F3C81">
      <w:pPr>
        <w:pStyle w:val="FootnoteText"/>
        <w:rPr>
          <w:sz w:val="16"/>
          <w:szCs w:val="16"/>
        </w:rPr>
      </w:pPr>
      <w:r>
        <w:rPr>
          <w:rStyle w:val="FootnoteReference"/>
        </w:rPr>
        <w:footnoteRef/>
      </w:r>
      <w:r>
        <w:t xml:space="preserve"> </w:t>
      </w:r>
      <w:r w:rsidRPr="00702127">
        <w:rPr>
          <w:i/>
          <w:sz w:val="16"/>
          <w:szCs w:val="16"/>
        </w:rPr>
        <w:t xml:space="preserve">Withdrawal and </w:t>
      </w:r>
      <w:r>
        <w:rPr>
          <w:i/>
          <w:sz w:val="16"/>
          <w:szCs w:val="16"/>
        </w:rPr>
        <w:t>Enrolment application forms</w:t>
      </w:r>
      <w:r w:rsidRPr="00702127">
        <w:rPr>
          <w:sz w:val="16"/>
          <w:szCs w:val="16"/>
        </w:rPr>
        <w:t xml:space="preserve"> </w:t>
      </w:r>
      <w:r>
        <w:rPr>
          <w:sz w:val="16"/>
          <w:szCs w:val="16"/>
        </w:rPr>
        <w:t xml:space="preserve">are available from </w:t>
      </w:r>
      <w:r w:rsidR="004B0C10">
        <w:rPr>
          <w:sz w:val="16"/>
          <w:szCs w:val="16"/>
        </w:rPr>
        <w:t xml:space="preserve">the ATNZ website and must be submitted by email </w:t>
      </w:r>
      <w:r w:rsidRPr="00702127">
        <w:rPr>
          <w:sz w:val="16"/>
          <w:szCs w:val="16"/>
        </w:rPr>
        <w:t>along with supporting information.</w:t>
      </w:r>
    </w:p>
    <w:p w14:paraId="42B51673" w14:textId="77777777" w:rsidR="004B0C10" w:rsidRPr="00702127" w:rsidRDefault="004B0C10" w:rsidP="006F3C81">
      <w:pPr>
        <w:pStyle w:val="FootnoteText"/>
        <w:rPr>
          <w:sz w:val="16"/>
          <w:szCs w:val="16"/>
        </w:rPr>
      </w:pPr>
    </w:p>
    <w:p w14:paraId="1F76EA97" w14:textId="77777777" w:rsidR="00AD45C0" w:rsidRPr="00C26D6E" w:rsidRDefault="00AD45C0" w:rsidP="006F3C81">
      <w:pPr>
        <w:pStyle w:val="FootnoteText"/>
        <w:rPr>
          <w:rFonts w:asciiTheme="minorHAnsi" w:hAnsiTheme="minorHAnsi"/>
        </w:rPr>
      </w:pPr>
    </w:p>
  </w:footnote>
  <w:footnote w:id="6">
    <w:p w14:paraId="30125A9A" w14:textId="60D60074" w:rsidR="00AD45C0" w:rsidRPr="00702127" w:rsidRDefault="00AD45C0" w:rsidP="001B2D2D">
      <w:pPr>
        <w:pStyle w:val="FootnoteText"/>
        <w:rPr>
          <w:sz w:val="16"/>
          <w:szCs w:val="16"/>
        </w:rPr>
      </w:pPr>
      <w:r>
        <w:rPr>
          <w:rStyle w:val="FootnoteReference"/>
        </w:rPr>
        <w:footnoteRef/>
      </w:r>
      <w:r>
        <w:t xml:space="preserve"> </w:t>
      </w:r>
      <w:r w:rsidRPr="00702127">
        <w:rPr>
          <w:i/>
          <w:sz w:val="16"/>
          <w:szCs w:val="16"/>
        </w:rPr>
        <w:t xml:space="preserve">Withdrawal </w:t>
      </w:r>
      <w:r w:rsidRPr="008B6582">
        <w:rPr>
          <w:sz w:val="16"/>
          <w:szCs w:val="16"/>
        </w:rPr>
        <w:t>forms</w:t>
      </w:r>
      <w:r w:rsidRPr="00702127">
        <w:rPr>
          <w:sz w:val="16"/>
          <w:szCs w:val="16"/>
        </w:rPr>
        <w:t xml:space="preserve"> </w:t>
      </w:r>
      <w:r>
        <w:rPr>
          <w:sz w:val="16"/>
          <w:szCs w:val="16"/>
        </w:rPr>
        <w:t xml:space="preserve">are available from </w:t>
      </w:r>
      <w:r w:rsidR="00FC1698">
        <w:rPr>
          <w:sz w:val="16"/>
          <w:szCs w:val="16"/>
        </w:rPr>
        <w:t>the ATNZ website</w:t>
      </w:r>
      <w:r w:rsidRPr="00702127">
        <w:rPr>
          <w:sz w:val="16"/>
          <w:szCs w:val="16"/>
        </w:rPr>
        <w:t xml:space="preserve">.  Completed forms must be submitted </w:t>
      </w:r>
      <w:r w:rsidR="00FC1698">
        <w:rPr>
          <w:sz w:val="16"/>
          <w:szCs w:val="16"/>
        </w:rPr>
        <w:t xml:space="preserve">through email </w:t>
      </w:r>
      <w:r w:rsidRPr="00702127">
        <w:rPr>
          <w:sz w:val="16"/>
          <w:szCs w:val="16"/>
        </w:rPr>
        <w:t>along with supporting information.</w:t>
      </w:r>
    </w:p>
    <w:p w14:paraId="4B2AA52E" w14:textId="77777777" w:rsidR="00AD45C0" w:rsidRPr="00831E1D" w:rsidRDefault="00AD45C0" w:rsidP="001B2D2D">
      <w:pPr>
        <w:pStyle w:val="FootnoteText"/>
        <w:rPr>
          <w:sz w:val="18"/>
          <w:szCs w:val="18"/>
        </w:rPr>
      </w:pPr>
    </w:p>
  </w:footnote>
  <w:footnote w:id="7">
    <w:p w14:paraId="3E0FAA61" w14:textId="77777777" w:rsidR="00AD45C0" w:rsidRPr="00F56A3E" w:rsidRDefault="00AD45C0" w:rsidP="0009204B">
      <w:pPr>
        <w:pStyle w:val="FootnoteText"/>
        <w:rPr>
          <w:sz w:val="18"/>
          <w:szCs w:val="18"/>
        </w:rPr>
      </w:pPr>
      <w:r>
        <w:rPr>
          <w:rStyle w:val="FootnoteReference"/>
        </w:rPr>
        <w:footnoteRef/>
      </w:r>
      <w:r>
        <w:t xml:space="preserve"> </w:t>
      </w:r>
      <w:r w:rsidRPr="00702127">
        <w:rPr>
          <w:sz w:val="16"/>
          <w:szCs w:val="16"/>
        </w:rPr>
        <w:t>Fees may also be transferred to another programme, training scheme or course or to the same programme, training scheme or course for a different intake.</w:t>
      </w:r>
    </w:p>
  </w:footnote>
  <w:footnote w:id="8">
    <w:p w14:paraId="7A082ED1" w14:textId="5CD903DA" w:rsidR="00AD45C0" w:rsidRPr="00F06727" w:rsidRDefault="00AD45C0" w:rsidP="008336CB">
      <w:pPr>
        <w:pStyle w:val="FootnoteText"/>
        <w:spacing w:after="60"/>
        <w:ind w:left="706"/>
        <w:rPr>
          <w:sz w:val="18"/>
          <w:szCs w:val="18"/>
          <w:lang w:val="en-US"/>
        </w:rPr>
      </w:pPr>
      <w:r>
        <w:rPr>
          <w:rStyle w:val="FootnoteReference"/>
        </w:rPr>
        <w:footnoteRef/>
      </w:r>
      <w:r>
        <w:t xml:space="preserve"> </w:t>
      </w:r>
      <w:r w:rsidRPr="00702127">
        <w:rPr>
          <w:sz w:val="16"/>
          <w:szCs w:val="16"/>
        </w:rPr>
        <w:t xml:space="preserve">Outcomes may also be communicated verbally to </w:t>
      </w:r>
      <w:r w:rsidR="00893B2F">
        <w:rPr>
          <w:sz w:val="16"/>
          <w:szCs w:val="16"/>
        </w:rPr>
        <w:t>learner</w:t>
      </w:r>
      <w:r w:rsidRPr="00702127">
        <w:rPr>
          <w:sz w:val="16"/>
          <w:szCs w:val="16"/>
        </w:rPr>
        <w:t>s.  Verbal communication will not be a substitute for written communication.</w:t>
      </w:r>
    </w:p>
  </w:footnote>
  <w:footnote w:id="9">
    <w:p w14:paraId="26F8F121" w14:textId="42CA88F4" w:rsidR="00AD45C0" w:rsidRPr="00313CEE" w:rsidRDefault="00AD45C0">
      <w:pPr>
        <w:pStyle w:val="FootnoteText"/>
        <w:rPr>
          <w:lang w:val="en-US"/>
        </w:rPr>
      </w:pPr>
      <w:r>
        <w:rPr>
          <w:rStyle w:val="FootnoteReference"/>
        </w:rPr>
        <w:footnoteRef/>
      </w:r>
      <w:r>
        <w:t xml:space="preserve"> </w:t>
      </w:r>
      <w:r w:rsidRPr="00313CEE">
        <w:rPr>
          <w:sz w:val="16"/>
          <w:szCs w:val="16"/>
          <w:lang w:val="en-US"/>
        </w:rPr>
        <w:t>Unless otherwise approved by the</w:t>
      </w:r>
      <w:r>
        <w:rPr>
          <w:sz w:val="16"/>
          <w:szCs w:val="16"/>
          <w:lang w:val="en-US"/>
        </w:rPr>
        <w:t xml:space="preserve"> </w:t>
      </w:r>
      <w:r w:rsidR="00BB26BC">
        <w:rPr>
          <w:sz w:val="16"/>
          <w:szCs w:val="16"/>
          <w:lang w:val="en-US"/>
        </w:rPr>
        <w:t xml:space="preserve">PTE </w:t>
      </w:r>
      <w:r>
        <w:rPr>
          <w:sz w:val="16"/>
          <w:szCs w:val="16"/>
          <w:lang w:val="en-US"/>
        </w:rPr>
        <w:t>Manager</w:t>
      </w:r>
      <w:r w:rsidRPr="00313CEE">
        <w:rPr>
          <w:sz w:val="16"/>
          <w:szCs w:val="16"/>
          <w:lang w:val="en-US"/>
        </w:rPr>
        <w:t xml:space="preserve"> and notified to the </w:t>
      </w:r>
      <w:r w:rsidR="00893B2F">
        <w:rPr>
          <w:sz w:val="16"/>
          <w:szCs w:val="16"/>
          <w:lang w:val="en-US"/>
        </w:rPr>
        <w:t>learner</w:t>
      </w:r>
      <w:r w:rsidRPr="00313CEE">
        <w:rPr>
          <w:sz w:val="16"/>
          <w:szCs w:val="16"/>
          <w:lang w:val="en-US"/>
        </w:rPr>
        <w:t xml:space="preserve"> in writing.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951F" w14:textId="17E0F672" w:rsidR="00AD45C0" w:rsidRDefault="00AD45C0" w:rsidP="0003653F">
    <w:pPr>
      <w:pStyle w:val="Header"/>
    </w:pPr>
    <w:r>
      <w:rPr>
        <w:noProof/>
        <w:lang w:val="mi-NZ" w:eastAsia="mi-NZ"/>
      </w:rPr>
      <mc:AlternateContent>
        <mc:Choice Requires="wps">
          <w:drawing>
            <wp:anchor distT="45720" distB="45720" distL="114300" distR="114300" simplePos="0" relativeHeight="251660288" behindDoc="0" locked="0" layoutInCell="1" allowOverlap="1" wp14:anchorId="1A5C96C4" wp14:editId="0212BE28">
              <wp:simplePos x="0" y="0"/>
              <wp:positionH relativeFrom="column">
                <wp:posOffset>5423535</wp:posOffset>
              </wp:positionH>
              <wp:positionV relativeFrom="paragraph">
                <wp:posOffset>-378460</wp:posOffset>
              </wp:positionV>
              <wp:extent cx="12096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noFill/>
                        <a:miter lim="800000"/>
                        <a:headEnd/>
                        <a:tailEnd/>
                      </a:ln>
                    </wps:spPr>
                    <wps:txbx>
                      <w:txbxContent>
                        <w:p w14:paraId="418A4F5A" w14:textId="0BBACAC8" w:rsidR="00AD45C0" w:rsidRDefault="004C7D44">
                          <w:r>
                            <w:rPr>
                              <w:noProof/>
                            </w:rPr>
                            <w:drawing>
                              <wp:inline distT="0" distB="0" distL="0" distR="0" wp14:anchorId="18020119" wp14:editId="4721BE87">
                                <wp:extent cx="984885" cy="5715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ic:nvPicPr>
                                      <pic:blipFill>
                                        <a:blip r:embed="rId1"/>
                                        <a:srcRect/>
                                        <a:stretch>
                                          <a:fillRect/>
                                        </a:stretch>
                                      </pic:blipFill>
                                      <pic:spPr>
                                        <a:xfrm>
                                          <a:off x="0" y="0"/>
                                          <a:ext cx="984885" cy="571500"/>
                                        </a:xfrm>
                                        <a:prstGeom prst="rect">
                                          <a:avLst/>
                                        </a:prstGeom>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5C96C4" id="_x0000_t202" coordsize="21600,21600" o:spt="202" path="m,l,21600r21600,l21600,xe">
              <v:stroke joinstyle="miter"/>
              <v:path gradientshapeok="t" o:connecttype="rect"/>
            </v:shapetype>
            <v:shape id="Text Box 2" o:spid="_x0000_s1026" type="#_x0000_t202" style="position:absolute;left:0;text-align:left;margin-left:427.05pt;margin-top:-29.8pt;width:95.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V0DQIAAPc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" stroked="f">
              <v:textbox style="mso-fit-shape-to-text:t">
                <w:txbxContent>
                  <w:p w14:paraId="418A4F5A" w14:textId="0BBACAC8" w:rsidR="00AD45C0" w:rsidRDefault="004C7D44">
                    <w:r>
                      <w:rPr>
                        <w:noProof/>
                      </w:rPr>
                      <w:drawing>
                        <wp:inline distT="0" distB="0" distL="0" distR="0" wp14:anchorId="18020119" wp14:editId="4721BE87">
                          <wp:extent cx="984885" cy="5715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ic:nvPicPr>
                                <pic:blipFill>
                                  <a:blip r:embed="rId2"/>
                                  <a:srcRect/>
                                  <a:stretch>
                                    <a:fillRect/>
                                  </a:stretch>
                                </pic:blipFill>
                                <pic:spPr>
                                  <a:xfrm>
                                    <a:off x="0" y="0"/>
                                    <a:ext cx="984885" cy="571500"/>
                                  </a:xfrm>
                                  <a:prstGeom prst="rect">
                                    <a:avLst/>
                                  </a:prstGeom>
                                  <a:ln/>
                                </pic:spPr>
                              </pic:pic>
                            </a:graphicData>
                          </a:graphic>
                        </wp:inline>
                      </w:drawing>
                    </w:r>
                  </w:p>
                </w:txbxContent>
              </v:textbox>
              <w10:wrap type="square"/>
            </v:shape>
          </w:pict>
        </mc:Fallback>
      </mc:AlternateContent>
    </w:r>
    <w:r w:rsidR="004C7D44">
      <w:tab/>
    </w:r>
    <w:r w:rsidR="004C7D44">
      <w:tab/>
    </w:r>
    <w:r w:rsidR="004C7D4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90F"/>
    <w:multiLevelType w:val="multilevel"/>
    <w:tmpl w:val="810402CE"/>
    <w:lvl w:ilvl="0">
      <w:start w:val="1"/>
      <w:numFmt w:val="decimal"/>
      <w:lvlText w:val="%1."/>
      <w:lvlJc w:val="left"/>
      <w:pPr>
        <w:ind w:left="357" w:hanging="357"/>
      </w:pPr>
      <w:rPr>
        <w:rFonts w:hint="default"/>
      </w:rPr>
    </w:lvl>
    <w:lvl w:ilvl="1">
      <w:start w:val="1"/>
      <w:numFmt w:val="decimal"/>
      <w:lvlText w:val="%1.%2."/>
      <w:lvlJc w:val="left"/>
      <w:pPr>
        <w:tabs>
          <w:tab w:val="num" w:pos="5453"/>
        </w:tabs>
        <w:ind w:left="5130" w:firstLine="0"/>
      </w:pPr>
      <w:rPr>
        <w:rFonts w:hint="default"/>
      </w:rPr>
    </w:lvl>
    <w:lvl w:ilvl="2">
      <w:start w:val="1"/>
      <w:numFmt w:val="bullet"/>
      <w:lvlText w:val=""/>
      <w:lvlJc w:val="left"/>
      <w:pPr>
        <w:ind w:left="2292" w:hanging="874"/>
      </w:pPr>
      <w:rPr>
        <w:rFonts w:ascii="Wingdings" w:hAnsi="Wingdings" w:hint="default"/>
        <w:b w:val="0"/>
        <w:i w:val="0"/>
        <w:color w:val="auto"/>
        <w:sz w:val="20"/>
        <w:szCs w:val="20"/>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15C5776"/>
    <w:multiLevelType w:val="multilevel"/>
    <w:tmpl w:val="00587820"/>
    <w:name w:val=" 9"/>
    <w:numStyleLink w:val="Headings"/>
  </w:abstractNum>
  <w:abstractNum w:abstractNumId="2" w15:restartNumberingAfterBreak="0">
    <w:nsid w:val="02BD36B9"/>
    <w:multiLevelType w:val="hybridMultilevel"/>
    <w:tmpl w:val="47307104"/>
    <w:lvl w:ilvl="0" w:tplc="14090005">
      <w:start w:val="1"/>
      <w:numFmt w:val="bullet"/>
      <w:lvlText w:val=""/>
      <w:lvlJc w:val="left"/>
      <w:pPr>
        <w:ind w:left="754" w:hanging="360"/>
      </w:pPr>
      <w:rPr>
        <w:rFonts w:ascii="Wingdings" w:hAnsi="Wingdings"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3" w15:restartNumberingAfterBreak="0">
    <w:nsid w:val="02F46C92"/>
    <w:multiLevelType w:val="multilevel"/>
    <w:tmpl w:val="00587820"/>
    <w:name w:val=" "/>
    <w:styleLink w:val="Headings"/>
    <w:lvl w:ilvl="0">
      <w:start w:val="1"/>
      <w:numFmt w:val="decimal"/>
      <w:lvlText w:val="%1."/>
      <w:lvlJc w:val="left"/>
      <w:pPr>
        <w:ind w:left="357" w:hanging="357"/>
      </w:pPr>
      <w:rPr>
        <w:rFonts w:hint="default"/>
      </w:rPr>
    </w:lvl>
    <w:lvl w:ilvl="1">
      <w:start w:val="1"/>
      <w:numFmt w:val="decimal"/>
      <w:lvlText w:val="%1.%2."/>
      <w:lvlJc w:val="left"/>
      <w:pPr>
        <w:tabs>
          <w:tab w:val="num" w:pos="680"/>
        </w:tabs>
        <w:ind w:left="357" w:firstLine="0"/>
      </w:pPr>
      <w:rPr>
        <w:rFonts w:hint="default"/>
      </w:rPr>
    </w:lvl>
    <w:lvl w:ilvl="2">
      <w:start w:val="1"/>
      <w:numFmt w:val="decimal"/>
      <w:lvlText w:val="%1.%2.%3"/>
      <w:lvlJc w:val="left"/>
      <w:pPr>
        <w:ind w:left="1588" w:hanging="874"/>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15:restartNumberingAfterBreak="0">
    <w:nsid w:val="033D621E"/>
    <w:multiLevelType w:val="multilevel"/>
    <w:tmpl w:val="00587820"/>
    <w:name w:val=" 5"/>
    <w:numStyleLink w:val="Headings"/>
  </w:abstractNum>
  <w:abstractNum w:abstractNumId="5" w15:restartNumberingAfterBreak="0">
    <w:nsid w:val="037D7145"/>
    <w:multiLevelType w:val="multilevel"/>
    <w:tmpl w:val="00587820"/>
    <w:name w:val=" 10"/>
    <w:numStyleLink w:val="Headings"/>
  </w:abstractNum>
  <w:abstractNum w:abstractNumId="6" w15:restartNumberingAfterBreak="0">
    <w:nsid w:val="066B6B77"/>
    <w:multiLevelType w:val="hybridMultilevel"/>
    <w:tmpl w:val="23FA7D1A"/>
    <w:lvl w:ilvl="0" w:tplc="9BC2D06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123971"/>
    <w:multiLevelType w:val="hybridMultilevel"/>
    <w:tmpl w:val="AE2C5632"/>
    <w:lvl w:ilvl="0" w:tplc="A38A6FA0">
      <w:start w:val="2"/>
      <w:numFmt w:val="bullet"/>
      <w:lvlText w:val="-"/>
      <w:lvlJc w:val="left"/>
      <w:pPr>
        <w:ind w:left="2487" w:hanging="360"/>
      </w:pPr>
      <w:rPr>
        <w:rFonts w:ascii="Arial" w:eastAsia="Times New Roman" w:hAnsi="Arial" w:cs="Arial" w:hint="default"/>
      </w:rPr>
    </w:lvl>
    <w:lvl w:ilvl="1" w:tplc="14090003" w:tentative="1">
      <w:start w:val="1"/>
      <w:numFmt w:val="bullet"/>
      <w:lvlText w:val="o"/>
      <w:lvlJc w:val="left"/>
      <w:pPr>
        <w:ind w:left="3207" w:hanging="360"/>
      </w:pPr>
      <w:rPr>
        <w:rFonts w:ascii="Courier New" w:hAnsi="Courier New" w:cs="Courier New" w:hint="default"/>
      </w:rPr>
    </w:lvl>
    <w:lvl w:ilvl="2" w:tplc="14090005" w:tentative="1">
      <w:start w:val="1"/>
      <w:numFmt w:val="bullet"/>
      <w:lvlText w:val=""/>
      <w:lvlJc w:val="left"/>
      <w:pPr>
        <w:ind w:left="3927" w:hanging="360"/>
      </w:pPr>
      <w:rPr>
        <w:rFonts w:ascii="Wingdings" w:hAnsi="Wingdings" w:hint="default"/>
      </w:rPr>
    </w:lvl>
    <w:lvl w:ilvl="3" w:tplc="14090001" w:tentative="1">
      <w:start w:val="1"/>
      <w:numFmt w:val="bullet"/>
      <w:lvlText w:val=""/>
      <w:lvlJc w:val="left"/>
      <w:pPr>
        <w:ind w:left="4647" w:hanging="360"/>
      </w:pPr>
      <w:rPr>
        <w:rFonts w:ascii="Symbol" w:hAnsi="Symbol" w:hint="default"/>
      </w:rPr>
    </w:lvl>
    <w:lvl w:ilvl="4" w:tplc="14090003" w:tentative="1">
      <w:start w:val="1"/>
      <w:numFmt w:val="bullet"/>
      <w:lvlText w:val="o"/>
      <w:lvlJc w:val="left"/>
      <w:pPr>
        <w:ind w:left="5367" w:hanging="360"/>
      </w:pPr>
      <w:rPr>
        <w:rFonts w:ascii="Courier New" w:hAnsi="Courier New" w:cs="Courier New" w:hint="default"/>
      </w:rPr>
    </w:lvl>
    <w:lvl w:ilvl="5" w:tplc="14090005" w:tentative="1">
      <w:start w:val="1"/>
      <w:numFmt w:val="bullet"/>
      <w:lvlText w:val=""/>
      <w:lvlJc w:val="left"/>
      <w:pPr>
        <w:ind w:left="6087" w:hanging="360"/>
      </w:pPr>
      <w:rPr>
        <w:rFonts w:ascii="Wingdings" w:hAnsi="Wingdings" w:hint="default"/>
      </w:rPr>
    </w:lvl>
    <w:lvl w:ilvl="6" w:tplc="14090001" w:tentative="1">
      <w:start w:val="1"/>
      <w:numFmt w:val="bullet"/>
      <w:lvlText w:val=""/>
      <w:lvlJc w:val="left"/>
      <w:pPr>
        <w:ind w:left="6807" w:hanging="360"/>
      </w:pPr>
      <w:rPr>
        <w:rFonts w:ascii="Symbol" w:hAnsi="Symbol" w:hint="default"/>
      </w:rPr>
    </w:lvl>
    <w:lvl w:ilvl="7" w:tplc="14090003" w:tentative="1">
      <w:start w:val="1"/>
      <w:numFmt w:val="bullet"/>
      <w:lvlText w:val="o"/>
      <w:lvlJc w:val="left"/>
      <w:pPr>
        <w:ind w:left="7527" w:hanging="360"/>
      </w:pPr>
      <w:rPr>
        <w:rFonts w:ascii="Courier New" w:hAnsi="Courier New" w:cs="Courier New" w:hint="default"/>
      </w:rPr>
    </w:lvl>
    <w:lvl w:ilvl="8" w:tplc="14090005" w:tentative="1">
      <w:start w:val="1"/>
      <w:numFmt w:val="bullet"/>
      <w:lvlText w:val=""/>
      <w:lvlJc w:val="left"/>
      <w:pPr>
        <w:ind w:left="8247" w:hanging="360"/>
      </w:pPr>
      <w:rPr>
        <w:rFonts w:ascii="Wingdings" w:hAnsi="Wingdings" w:hint="default"/>
      </w:rPr>
    </w:lvl>
  </w:abstractNum>
  <w:abstractNum w:abstractNumId="8" w15:restartNumberingAfterBreak="0">
    <w:nsid w:val="0EEC34C7"/>
    <w:multiLevelType w:val="hybridMultilevel"/>
    <w:tmpl w:val="EA7C50E2"/>
    <w:lvl w:ilvl="0" w:tplc="14090001">
      <w:start w:val="1"/>
      <w:numFmt w:val="bullet"/>
      <w:lvlText w:val=""/>
      <w:lvlJc w:val="left"/>
      <w:pPr>
        <w:ind w:left="2705" w:hanging="360"/>
      </w:pPr>
      <w:rPr>
        <w:rFonts w:ascii="Symbol" w:hAnsi="Symbol" w:hint="default"/>
      </w:rPr>
    </w:lvl>
    <w:lvl w:ilvl="1" w:tplc="14090003" w:tentative="1">
      <w:start w:val="1"/>
      <w:numFmt w:val="bullet"/>
      <w:lvlText w:val="o"/>
      <w:lvlJc w:val="left"/>
      <w:pPr>
        <w:ind w:left="3425" w:hanging="360"/>
      </w:pPr>
      <w:rPr>
        <w:rFonts w:ascii="Courier New" w:hAnsi="Courier New" w:cs="Courier New" w:hint="default"/>
      </w:rPr>
    </w:lvl>
    <w:lvl w:ilvl="2" w:tplc="14090005" w:tentative="1">
      <w:start w:val="1"/>
      <w:numFmt w:val="bullet"/>
      <w:lvlText w:val=""/>
      <w:lvlJc w:val="left"/>
      <w:pPr>
        <w:ind w:left="4145" w:hanging="360"/>
      </w:pPr>
      <w:rPr>
        <w:rFonts w:ascii="Wingdings" w:hAnsi="Wingdings" w:hint="default"/>
      </w:rPr>
    </w:lvl>
    <w:lvl w:ilvl="3" w:tplc="14090001" w:tentative="1">
      <w:start w:val="1"/>
      <w:numFmt w:val="bullet"/>
      <w:lvlText w:val=""/>
      <w:lvlJc w:val="left"/>
      <w:pPr>
        <w:ind w:left="4865" w:hanging="360"/>
      </w:pPr>
      <w:rPr>
        <w:rFonts w:ascii="Symbol" w:hAnsi="Symbol" w:hint="default"/>
      </w:rPr>
    </w:lvl>
    <w:lvl w:ilvl="4" w:tplc="14090003" w:tentative="1">
      <w:start w:val="1"/>
      <w:numFmt w:val="bullet"/>
      <w:lvlText w:val="o"/>
      <w:lvlJc w:val="left"/>
      <w:pPr>
        <w:ind w:left="5585" w:hanging="360"/>
      </w:pPr>
      <w:rPr>
        <w:rFonts w:ascii="Courier New" w:hAnsi="Courier New" w:cs="Courier New" w:hint="default"/>
      </w:rPr>
    </w:lvl>
    <w:lvl w:ilvl="5" w:tplc="14090005" w:tentative="1">
      <w:start w:val="1"/>
      <w:numFmt w:val="bullet"/>
      <w:lvlText w:val=""/>
      <w:lvlJc w:val="left"/>
      <w:pPr>
        <w:ind w:left="6305" w:hanging="360"/>
      </w:pPr>
      <w:rPr>
        <w:rFonts w:ascii="Wingdings" w:hAnsi="Wingdings" w:hint="default"/>
      </w:rPr>
    </w:lvl>
    <w:lvl w:ilvl="6" w:tplc="14090001" w:tentative="1">
      <w:start w:val="1"/>
      <w:numFmt w:val="bullet"/>
      <w:lvlText w:val=""/>
      <w:lvlJc w:val="left"/>
      <w:pPr>
        <w:ind w:left="7025" w:hanging="360"/>
      </w:pPr>
      <w:rPr>
        <w:rFonts w:ascii="Symbol" w:hAnsi="Symbol" w:hint="default"/>
      </w:rPr>
    </w:lvl>
    <w:lvl w:ilvl="7" w:tplc="14090003" w:tentative="1">
      <w:start w:val="1"/>
      <w:numFmt w:val="bullet"/>
      <w:lvlText w:val="o"/>
      <w:lvlJc w:val="left"/>
      <w:pPr>
        <w:ind w:left="7745" w:hanging="360"/>
      </w:pPr>
      <w:rPr>
        <w:rFonts w:ascii="Courier New" w:hAnsi="Courier New" w:cs="Courier New" w:hint="default"/>
      </w:rPr>
    </w:lvl>
    <w:lvl w:ilvl="8" w:tplc="14090005" w:tentative="1">
      <w:start w:val="1"/>
      <w:numFmt w:val="bullet"/>
      <w:lvlText w:val=""/>
      <w:lvlJc w:val="left"/>
      <w:pPr>
        <w:ind w:left="8465" w:hanging="360"/>
      </w:pPr>
      <w:rPr>
        <w:rFonts w:ascii="Wingdings" w:hAnsi="Wingdings" w:hint="default"/>
      </w:rPr>
    </w:lvl>
  </w:abstractNum>
  <w:abstractNum w:abstractNumId="9" w15:restartNumberingAfterBreak="0">
    <w:nsid w:val="127A1595"/>
    <w:multiLevelType w:val="multilevel"/>
    <w:tmpl w:val="00587820"/>
    <w:name w:val=" 13"/>
    <w:numStyleLink w:val="Headings"/>
  </w:abstractNum>
  <w:abstractNum w:abstractNumId="10" w15:restartNumberingAfterBreak="0">
    <w:nsid w:val="16B302F1"/>
    <w:multiLevelType w:val="hybridMultilevel"/>
    <w:tmpl w:val="08342846"/>
    <w:lvl w:ilvl="0" w:tplc="14090005">
      <w:start w:val="1"/>
      <w:numFmt w:val="bullet"/>
      <w:lvlText w:val=""/>
      <w:lvlJc w:val="left"/>
      <w:pPr>
        <w:ind w:left="2421" w:hanging="360"/>
      </w:pPr>
      <w:rPr>
        <w:rFonts w:ascii="Wingdings" w:hAnsi="Wingdings"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11" w15:restartNumberingAfterBreak="0">
    <w:nsid w:val="182F67B9"/>
    <w:multiLevelType w:val="hybridMultilevel"/>
    <w:tmpl w:val="CB86721C"/>
    <w:lvl w:ilvl="0" w:tplc="14090005">
      <w:start w:val="1"/>
      <w:numFmt w:val="bullet"/>
      <w:lvlText w:val=""/>
      <w:lvlJc w:val="left"/>
      <w:pPr>
        <w:ind w:left="2308" w:hanging="360"/>
      </w:pPr>
      <w:rPr>
        <w:rFonts w:ascii="Wingdings" w:hAnsi="Wingdings" w:hint="default"/>
      </w:rPr>
    </w:lvl>
    <w:lvl w:ilvl="1" w:tplc="14090003" w:tentative="1">
      <w:start w:val="1"/>
      <w:numFmt w:val="bullet"/>
      <w:lvlText w:val="o"/>
      <w:lvlJc w:val="left"/>
      <w:pPr>
        <w:ind w:left="3028" w:hanging="360"/>
      </w:pPr>
      <w:rPr>
        <w:rFonts w:ascii="Courier New" w:hAnsi="Courier New" w:cs="Courier New" w:hint="default"/>
      </w:rPr>
    </w:lvl>
    <w:lvl w:ilvl="2" w:tplc="14090005" w:tentative="1">
      <w:start w:val="1"/>
      <w:numFmt w:val="bullet"/>
      <w:lvlText w:val=""/>
      <w:lvlJc w:val="left"/>
      <w:pPr>
        <w:ind w:left="3748" w:hanging="360"/>
      </w:pPr>
      <w:rPr>
        <w:rFonts w:ascii="Wingdings" w:hAnsi="Wingdings" w:hint="default"/>
      </w:rPr>
    </w:lvl>
    <w:lvl w:ilvl="3" w:tplc="14090001" w:tentative="1">
      <w:start w:val="1"/>
      <w:numFmt w:val="bullet"/>
      <w:lvlText w:val=""/>
      <w:lvlJc w:val="left"/>
      <w:pPr>
        <w:ind w:left="4468" w:hanging="360"/>
      </w:pPr>
      <w:rPr>
        <w:rFonts w:ascii="Symbol" w:hAnsi="Symbol" w:hint="default"/>
      </w:rPr>
    </w:lvl>
    <w:lvl w:ilvl="4" w:tplc="14090003" w:tentative="1">
      <w:start w:val="1"/>
      <w:numFmt w:val="bullet"/>
      <w:lvlText w:val="o"/>
      <w:lvlJc w:val="left"/>
      <w:pPr>
        <w:ind w:left="5188" w:hanging="360"/>
      </w:pPr>
      <w:rPr>
        <w:rFonts w:ascii="Courier New" w:hAnsi="Courier New" w:cs="Courier New" w:hint="default"/>
      </w:rPr>
    </w:lvl>
    <w:lvl w:ilvl="5" w:tplc="14090005" w:tentative="1">
      <w:start w:val="1"/>
      <w:numFmt w:val="bullet"/>
      <w:lvlText w:val=""/>
      <w:lvlJc w:val="left"/>
      <w:pPr>
        <w:ind w:left="5908" w:hanging="360"/>
      </w:pPr>
      <w:rPr>
        <w:rFonts w:ascii="Wingdings" w:hAnsi="Wingdings" w:hint="default"/>
      </w:rPr>
    </w:lvl>
    <w:lvl w:ilvl="6" w:tplc="14090001" w:tentative="1">
      <w:start w:val="1"/>
      <w:numFmt w:val="bullet"/>
      <w:lvlText w:val=""/>
      <w:lvlJc w:val="left"/>
      <w:pPr>
        <w:ind w:left="6628" w:hanging="360"/>
      </w:pPr>
      <w:rPr>
        <w:rFonts w:ascii="Symbol" w:hAnsi="Symbol" w:hint="default"/>
      </w:rPr>
    </w:lvl>
    <w:lvl w:ilvl="7" w:tplc="14090003" w:tentative="1">
      <w:start w:val="1"/>
      <w:numFmt w:val="bullet"/>
      <w:lvlText w:val="o"/>
      <w:lvlJc w:val="left"/>
      <w:pPr>
        <w:ind w:left="7348" w:hanging="360"/>
      </w:pPr>
      <w:rPr>
        <w:rFonts w:ascii="Courier New" w:hAnsi="Courier New" w:cs="Courier New" w:hint="default"/>
      </w:rPr>
    </w:lvl>
    <w:lvl w:ilvl="8" w:tplc="14090005" w:tentative="1">
      <w:start w:val="1"/>
      <w:numFmt w:val="bullet"/>
      <w:lvlText w:val=""/>
      <w:lvlJc w:val="left"/>
      <w:pPr>
        <w:ind w:left="8068" w:hanging="360"/>
      </w:pPr>
      <w:rPr>
        <w:rFonts w:ascii="Wingdings" w:hAnsi="Wingdings" w:hint="default"/>
      </w:rPr>
    </w:lvl>
  </w:abstractNum>
  <w:abstractNum w:abstractNumId="12" w15:restartNumberingAfterBreak="0">
    <w:nsid w:val="1A6F4556"/>
    <w:multiLevelType w:val="hybridMultilevel"/>
    <w:tmpl w:val="8AEC02F0"/>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0876CD"/>
    <w:multiLevelType w:val="hybridMultilevel"/>
    <w:tmpl w:val="F334A29A"/>
    <w:lvl w:ilvl="0" w:tplc="9BC2D06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2117C5"/>
    <w:multiLevelType w:val="multilevel"/>
    <w:tmpl w:val="00587820"/>
    <w:name w:val=" 4"/>
    <w:numStyleLink w:val="Headings"/>
  </w:abstractNum>
  <w:abstractNum w:abstractNumId="15" w15:restartNumberingAfterBreak="0">
    <w:nsid w:val="28B61572"/>
    <w:multiLevelType w:val="hybridMultilevel"/>
    <w:tmpl w:val="B2BA00EC"/>
    <w:lvl w:ilvl="0" w:tplc="9BC2D06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874903"/>
    <w:multiLevelType w:val="hybridMultilevel"/>
    <w:tmpl w:val="7AF6AFFC"/>
    <w:lvl w:ilvl="0" w:tplc="14090005">
      <w:start w:val="1"/>
      <w:numFmt w:val="bullet"/>
      <w:lvlText w:val=""/>
      <w:lvlJc w:val="left"/>
      <w:pPr>
        <w:ind w:left="720" w:hanging="360"/>
      </w:pPr>
      <w:rPr>
        <w:rFonts w:ascii="Wingdings" w:hAnsi="Wingdings"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455BC5"/>
    <w:multiLevelType w:val="multilevel"/>
    <w:tmpl w:val="00587820"/>
    <w:name w:val=" 14"/>
    <w:numStyleLink w:val="Headings"/>
  </w:abstractNum>
  <w:abstractNum w:abstractNumId="18" w15:restartNumberingAfterBreak="0">
    <w:nsid w:val="3EBA1B59"/>
    <w:multiLevelType w:val="multilevel"/>
    <w:tmpl w:val="00587820"/>
    <w:name w:val=" 11"/>
    <w:numStyleLink w:val="Headings"/>
  </w:abstractNum>
  <w:abstractNum w:abstractNumId="19" w15:restartNumberingAfterBreak="0">
    <w:nsid w:val="3FC7637F"/>
    <w:multiLevelType w:val="hybridMultilevel"/>
    <w:tmpl w:val="B5F29C4A"/>
    <w:lvl w:ilvl="0" w:tplc="9BC2D06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05D653D"/>
    <w:multiLevelType w:val="hybridMultilevel"/>
    <w:tmpl w:val="51825362"/>
    <w:lvl w:ilvl="0" w:tplc="14090005">
      <w:start w:val="1"/>
      <w:numFmt w:val="bullet"/>
      <w:lvlText w:val=""/>
      <w:lvlJc w:val="left"/>
      <w:pPr>
        <w:ind w:left="1434" w:hanging="360"/>
      </w:pPr>
      <w:rPr>
        <w:rFonts w:ascii="Wingdings" w:hAnsi="Wingdings" w:hint="default"/>
        <w:sz w:val="20"/>
        <w:szCs w:val="20"/>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21" w15:restartNumberingAfterBreak="0">
    <w:nsid w:val="41CB4867"/>
    <w:multiLevelType w:val="multilevel"/>
    <w:tmpl w:val="00587820"/>
    <w:name w:val=" 6"/>
    <w:numStyleLink w:val="Headings"/>
  </w:abstractNum>
  <w:abstractNum w:abstractNumId="22" w15:restartNumberingAfterBreak="0">
    <w:nsid w:val="4862110E"/>
    <w:multiLevelType w:val="multilevel"/>
    <w:tmpl w:val="00587820"/>
    <w:name w:val=" 12"/>
    <w:numStyleLink w:val="Headings"/>
  </w:abstractNum>
  <w:abstractNum w:abstractNumId="23" w15:restartNumberingAfterBreak="0">
    <w:nsid w:val="4F6B0FB4"/>
    <w:multiLevelType w:val="multilevel"/>
    <w:tmpl w:val="00587820"/>
    <w:name w:val=" 15"/>
    <w:numStyleLink w:val="Headings"/>
  </w:abstractNum>
  <w:abstractNum w:abstractNumId="24" w15:restartNumberingAfterBreak="0">
    <w:nsid w:val="4FA81ABC"/>
    <w:multiLevelType w:val="hybridMultilevel"/>
    <w:tmpl w:val="91749FD4"/>
    <w:lvl w:ilvl="0" w:tplc="9BC2D064">
      <w:start w:val="1"/>
      <w:numFmt w:val="bullet"/>
      <w:lvlText w:val=""/>
      <w:lvlJc w:val="left"/>
      <w:pPr>
        <w:ind w:left="2487" w:hanging="360"/>
      </w:pPr>
      <w:rPr>
        <w:rFonts w:ascii="Symbol" w:hAnsi="Symbol" w:hint="default"/>
      </w:rPr>
    </w:lvl>
    <w:lvl w:ilvl="1" w:tplc="14090003" w:tentative="1">
      <w:start w:val="1"/>
      <w:numFmt w:val="bullet"/>
      <w:lvlText w:val="o"/>
      <w:lvlJc w:val="left"/>
      <w:pPr>
        <w:ind w:left="3207" w:hanging="360"/>
      </w:pPr>
      <w:rPr>
        <w:rFonts w:ascii="Courier New" w:hAnsi="Courier New" w:cs="Courier New" w:hint="default"/>
      </w:rPr>
    </w:lvl>
    <w:lvl w:ilvl="2" w:tplc="14090005" w:tentative="1">
      <w:start w:val="1"/>
      <w:numFmt w:val="bullet"/>
      <w:lvlText w:val=""/>
      <w:lvlJc w:val="left"/>
      <w:pPr>
        <w:ind w:left="3927" w:hanging="360"/>
      </w:pPr>
      <w:rPr>
        <w:rFonts w:ascii="Wingdings" w:hAnsi="Wingdings" w:hint="default"/>
      </w:rPr>
    </w:lvl>
    <w:lvl w:ilvl="3" w:tplc="14090001" w:tentative="1">
      <w:start w:val="1"/>
      <w:numFmt w:val="bullet"/>
      <w:lvlText w:val=""/>
      <w:lvlJc w:val="left"/>
      <w:pPr>
        <w:ind w:left="4647" w:hanging="360"/>
      </w:pPr>
      <w:rPr>
        <w:rFonts w:ascii="Symbol" w:hAnsi="Symbol" w:hint="default"/>
      </w:rPr>
    </w:lvl>
    <w:lvl w:ilvl="4" w:tplc="14090003" w:tentative="1">
      <w:start w:val="1"/>
      <w:numFmt w:val="bullet"/>
      <w:lvlText w:val="o"/>
      <w:lvlJc w:val="left"/>
      <w:pPr>
        <w:ind w:left="5367" w:hanging="360"/>
      </w:pPr>
      <w:rPr>
        <w:rFonts w:ascii="Courier New" w:hAnsi="Courier New" w:cs="Courier New" w:hint="default"/>
      </w:rPr>
    </w:lvl>
    <w:lvl w:ilvl="5" w:tplc="14090005" w:tentative="1">
      <w:start w:val="1"/>
      <w:numFmt w:val="bullet"/>
      <w:lvlText w:val=""/>
      <w:lvlJc w:val="left"/>
      <w:pPr>
        <w:ind w:left="6087" w:hanging="360"/>
      </w:pPr>
      <w:rPr>
        <w:rFonts w:ascii="Wingdings" w:hAnsi="Wingdings" w:hint="default"/>
      </w:rPr>
    </w:lvl>
    <w:lvl w:ilvl="6" w:tplc="14090001" w:tentative="1">
      <w:start w:val="1"/>
      <w:numFmt w:val="bullet"/>
      <w:lvlText w:val=""/>
      <w:lvlJc w:val="left"/>
      <w:pPr>
        <w:ind w:left="6807" w:hanging="360"/>
      </w:pPr>
      <w:rPr>
        <w:rFonts w:ascii="Symbol" w:hAnsi="Symbol" w:hint="default"/>
      </w:rPr>
    </w:lvl>
    <w:lvl w:ilvl="7" w:tplc="14090003" w:tentative="1">
      <w:start w:val="1"/>
      <w:numFmt w:val="bullet"/>
      <w:lvlText w:val="o"/>
      <w:lvlJc w:val="left"/>
      <w:pPr>
        <w:ind w:left="7527" w:hanging="360"/>
      </w:pPr>
      <w:rPr>
        <w:rFonts w:ascii="Courier New" w:hAnsi="Courier New" w:cs="Courier New" w:hint="default"/>
      </w:rPr>
    </w:lvl>
    <w:lvl w:ilvl="8" w:tplc="14090005" w:tentative="1">
      <w:start w:val="1"/>
      <w:numFmt w:val="bullet"/>
      <w:lvlText w:val=""/>
      <w:lvlJc w:val="left"/>
      <w:pPr>
        <w:ind w:left="8247" w:hanging="360"/>
      </w:pPr>
      <w:rPr>
        <w:rFonts w:ascii="Wingdings" w:hAnsi="Wingdings" w:hint="default"/>
      </w:rPr>
    </w:lvl>
  </w:abstractNum>
  <w:abstractNum w:abstractNumId="25" w15:restartNumberingAfterBreak="0">
    <w:nsid w:val="550D1ED3"/>
    <w:multiLevelType w:val="multilevel"/>
    <w:tmpl w:val="00587820"/>
    <w:name w:val=" 3"/>
    <w:numStyleLink w:val="Headings"/>
  </w:abstractNum>
  <w:abstractNum w:abstractNumId="26" w15:restartNumberingAfterBreak="0">
    <w:nsid w:val="55A85CD8"/>
    <w:multiLevelType w:val="hybridMultilevel"/>
    <w:tmpl w:val="3AB835F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6385CAA"/>
    <w:multiLevelType w:val="hybridMultilevel"/>
    <w:tmpl w:val="7B3C28A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80A4E79"/>
    <w:multiLevelType w:val="hybridMultilevel"/>
    <w:tmpl w:val="92621D06"/>
    <w:lvl w:ilvl="0" w:tplc="14090005">
      <w:start w:val="1"/>
      <w:numFmt w:val="bullet"/>
      <w:lvlText w:val=""/>
      <w:lvlJc w:val="left"/>
      <w:pPr>
        <w:ind w:left="2308" w:hanging="360"/>
      </w:pPr>
      <w:rPr>
        <w:rFonts w:ascii="Wingdings" w:hAnsi="Wingdings" w:hint="default"/>
        <w:color w:val="auto"/>
        <w:sz w:val="20"/>
        <w:szCs w:val="20"/>
      </w:rPr>
    </w:lvl>
    <w:lvl w:ilvl="1" w:tplc="14090003" w:tentative="1">
      <w:start w:val="1"/>
      <w:numFmt w:val="bullet"/>
      <w:lvlText w:val="o"/>
      <w:lvlJc w:val="left"/>
      <w:pPr>
        <w:ind w:left="3028" w:hanging="360"/>
      </w:pPr>
      <w:rPr>
        <w:rFonts w:ascii="Courier New" w:hAnsi="Courier New" w:cs="Courier New" w:hint="default"/>
      </w:rPr>
    </w:lvl>
    <w:lvl w:ilvl="2" w:tplc="14090005" w:tentative="1">
      <w:start w:val="1"/>
      <w:numFmt w:val="bullet"/>
      <w:lvlText w:val=""/>
      <w:lvlJc w:val="left"/>
      <w:pPr>
        <w:ind w:left="3748" w:hanging="360"/>
      </w:pPr>
      <w:rPr>
        <w:rFonts w:ascii="Wingdings" w:hAnsi="Wingdings" w:hint="default"/>
      </w:rPr>
    </w:lvl>
    <w:lvl w:ilvl="3" w:tplc="14090001" w:tentative="1">
      <w:start w:val="1"/>
      <w:numFmt w:val="bullet"/>
      <w:lvlText w:val=""/>
      <w:lvlJc w:val="left"/>
      <w:pPr>
        <w:ind w:left="4468" w:hanging="360"/>
      </w:pPr>
      <w:rPr>
        <w:rFonts w:ascii="Symbol" w:hAnsi="Symbol" w:hint="default"/>
      </w:rPr>
    </w:lvl>
    <w:lvl w:ilvl="4" w:tplc="14090003" w:tentative="1">
      <w:start w:val="1"/>
      <w:numFmt w:val="bullet"/>
      <w:lvlText w:val="o"/>
      <w:lvlJc w:val="left"/>
      <w:pPr>
        <w:ind w:left="5188" w:hanging="360"/>
      </w:pPr>
      <w:rPr>
        <w:rFonts w:ascii="Courier New" w:hAnsi="Courier New" w:cs="Courier New" w:hint="default"/>
      </w:rPr>
    </w:lvl>
    <w:lvl w:ilvl="5" w:tplc="14090005" w:tentative="1">
      <w:start w:val="1"/>
      <w:numFmt w:val="bullet"/>
      <w:lvlText w:val=""/>
      <w:lvlJc w:val="left"/>
      <w:pPr>
        <w:ind w:left="5908" w:hanging="360"/>
      </w:pPr>
      <w:rPr>
        <w:rFonts w:ascii="Wingdings" w:hAnsi="Wingdings" w:hint="default"/>
      </w:rPr>
    </w:lvl>
    <w:lvl w:ilvl="6" w:tplc="14090001" w:tentative="1">
      <w:start w:val="1"/>
      <w:numFmt w:val="bullet"/>
      <w:lvlText w:val=""/>
      <w:lvlJc w:val="left"/>
      <w:pPr>
        <w:ind w:left="6628" w:hanging="360"/>
      </w:pPr>
      <w:rPr>
        <w:rFonts w:ascii="Symbol" w:hAnsi="Symbol" w:hint="default"/>
      </w:rPr>
    </w:lvl>
    <w:lvl w:ilvl="7" w:tplc="14090003" w:tentative="1">
      <w:start w:val="1"/>
      <w:numFmt w:val="bullet"/>
      <w:lvlText w:val="o"/>
      <w:lvlJc w:val="left"/>
      <w:pPr>
        <w:ind w:left="7348" w:hanging="360"/>
      </w:pPr>
      <w:rPr>
        <w:rFonts w:ascii="Courier New" w:hAnsi="Courier New" w:cs="Courier New" w:hint="default"/>
      </w:rPr>
    </w:lvl>
    <w:lvl w:ilvl="8" w:tplc="14090005" w:tentative="1">
      <w:start w:val="1"/>
      <w:numFmt w:val="bullet"/>
      <w:lvlText w:val=""/>
      <w:lvlJc w:val="left"/>
      <w:pPr>
        <w:ind w:left="8068" w:hanging="360"/>
      </w:pPr>
      <w:rPr>
        <w:rFonts w:ascii="Wingdings" w:hAnsi="Wingdings" w:hint="default"/>
      </w:rPr>
    </w:lvl>
  </w:abstractNum>
  <w:abstractNum w:abstractNumId="29" w15:restartNumberingAfterBreak="0">
    <w:nsid w:val="58C12EE0"/>
    <w:multiLevelType w:val="multilevel"/>
    <w:tmpl w:val="1409001D"/>
    <w:name w:val="Minutes Number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D16507D"/>
    <w:multiLevelType w:val="hybridMultilevel"/>
    <w:tmpl w:val="6A2EED04"/>
    <w:lvl w:ilvl="0" w:tplc="64BE4E68">
      <w:start w:val="1"/>
      <w:numFmt w:val="bullet"/>
      <w:pStyle w:val="TableBullet2"/>
      <w:lvlText w:val=""/>
      <w:lvlJc w:val="left"/>
      <w:pPr>
        <w:tabs>
          <w:tab w:val="num" w:pos="1800"/>
        </w:tabs>
        <w:ind w:left="180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265B3"/>
    <w:multiLevelType w:val="multilevel"/>
    <w:tmpl w:val="117651FC"/>
    <w:lvl w:ilvl="0">
      <w:start w:val="1"/>
      <w:numFmt w:val="decimal"/>
      <w:pStyle w:val="Heading1No"/>
      <w:lvlText w:val="%1."/>
      <w:lvlJc w:val="left"/>
      <w:pPr>
        <w:ind w:left="357" w:hanging="357"/>
      </w:pPr>
      <w:rPr>
        <w:rFonts w:hint="default"/>
      </w:rPr>
    </w:lvl>
    <w:lvl w:ilvl="1">
      <w:start w:val="1"/>
      <w:numFmt w:val="decimal"/>
      <w:pStyle w:val="Heading2No"/>
      <w:lvlText w:val="%1.%2."/>
      <w:lvlJc w:val="left"/>
      <w:pPr>
        <w:tabs>
          <w:tab w:val="num" w:pos="5453"/>
        </w:tabs>
        <w:ind w:left="5130" w:firstLine="0"/>
      </w:pPr>
      <w:rPr>
        <w:rFonts w:hint="default"/>
      </w:rPr>
    </w:lvl>
    <w:lvl w:ilvl="2">
      <w:start w:val="1"/>
      <w:numFmt w:val="decimal"/>
      <w:pStyle w:val="BlockNumber"/>
      <w:lvlText w:val="%1.%2.%3"/>
      <w:lvlJc w:val="left"/>
      <w:pPr>
        <w:ind w:left="2292" w:hanging="874"/>
      </w:pPr>
      <w:rPr>
        <w:rFonts w:ascii="Arial" w:hAnsi="Arial" w:cs="Arial" w:hint="default"/>
        <w:b w:val="0"/>
        <w:i w:val="0"/>
        <w:color w:val="auto"/>
        <w:sz w:val="20"/>
        <w:szCs w:val="20"/>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15:restartNumberingAfterBreak="0">
    <w:nsid w:val="5F4818AE"/>
    <w:multiLevelType w:val="singleLevel"/>
    <w:tmpl w:val="90C410E6"/>
    <w:lvl w:ilvl="0">
      <w:start w:val="1"/>
      <w:numFmt w:val="bullet"/>
      <w:pStyle w:val="Bullet1"/>
      <w:lvlText w:val=""/>
      <w:lvlJc w:val="left"/>
      <w:pPr>
        <w:tabs>
          <w:tab w:val="num" w:pos="1494"/>
        </w:tabs>
        <w:ind w:left="1494" w:hanging="360"/>
      </w:pPr>
      <w:rPr>
        <w:rFonts w:ascii="Wingdings" w:hAnsi="Wingdings" w:hint="default"/>
        <w:sz w:val="24"/>
        <w:szCs w:val="24"/>
      </w:rPr>
    </w:lvl>
  </w:abstractNum>
  <w:abstractNum w:abstractNumId="33" w15:restartNumberingAfterBreak="0">
    <w:nsid w:val="5FEC25DC"/>
    <w:multiLevelType w:val="hybridMultilevel"/>
    <w:tmpl w:val="CC92B5F2"/>
    <w:lvl w:ilvl="0" w:tplc="BB1A699A">
      <w:start w:val="1"/>
      <w:numFmt w:val="decimal"/>
      <w:pStyle w:val="NumberText1"/>
      <w:lvlText w:val="%1."/>
      <w:lvlJc w:val="left"/>
      <w:pPr>
        <w:tabs>
          <w:tab w:val="num" w:pos="407"/>
        </w:tabs>
        <w:ind w:left="407" w:hanging="227"/>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2935C78"/>
    <w:multiLevelType w:val="hybridMultilevel"/>
    <w:tmpl w:val="4CCA6AD8"/>
    <w:lvl w:ilvl="0" w:tplc="14090001">
      <w:start w:val="1"/>
      <w:numFmt w:val="bullet"/>
      <w:lvlText w:val=""/>
      <w:lvlJc w:val="left"/>
      <w:pPr>
        <w:ind w:left="2988" w:hanging="360"/>
      </w:pPr>
      <w:rPr>
        <w:rFonts w:ascii="Symbol" w:hAnsi="Symbol" w:hint="default"/>
      </w:rPr>
    </w:lvl>
    <w:lvl w:ilvl="1" w:tplc="14090003" w:tentative="1">
      <w:start w:val="1"/>
      <w:numFmt w:val="bullet"/>
      <w:lvlText w:val="o"/>
      <w:lvlJc w:val="left"/>
      <w:pPr>
        <w:ind w:left="3708" w:hanging="360"/>
      </w:pPr>
      <w:rPr>
        <w:rFonts w:ascii="Courier New" w:hAnsi="Courier New" w:cs="Courier New" w:hint="default"/>
      </w:rPr>
    </w:lvl>
    <w:lvl w:ilvl="2" w:tplc="14090005" w:tentative="1">
      <w:start w:val="1"/>
      <w:numFmt w:val="bullet"/>
      <w:lvlText w:val=""/>
      <w:lvlJc w:val="left"/>
      <w:pPr>
        <w:ind w:left="4428" w:hanging="360"/>
      </w:pPr>
      <w:rPr>
        <w:rFonts w:ascii="Wingdings" w:hAnsi="Wingdings" w:hint="default"/>
      </w:rPr>
    </w:lvl>
    <w:lvl w:ilvl="3" w:tplc="14090001" w:tentative="1">
      <w:start w:val="1"/>
      <w:numFmt w:val="bullet"/>
      <w:lvlText w:val=""/>
      <w:lvlJc w:val="left"/>
      <w:pPr>
        <w:ind w:left="5148" w:hanging="360"/>
      </w:pPr>
      <w:rPr>
        <w:rFonts w:ascii="Symbol" w:hAnsi="Symbol" w:hint="default"/>
      </w:rPr>
    </w:lvl>
    <w:lvl w:ilvl="4" w:tplc="14090003" w:tentative="1">
      <w:start w:val="1"/>
      <w:numFmt w:val="bullet"/>
      <w:lvlText w:val="o"/>
      <w:lvlJc w:val="left"/>
      <w:pPr>
        <w:ind w:left="5868" w:hanging="360"/>
      </w:pPr>
      <w:rPr>
        <w:rFonts w:ascii="Courier New" w:hAnsi="Courier New" w:cs="Courier New" w:hint="default"/>
      </w:rPr>
    </w:lvl>
    <w:lvl w:ilvl="5" w:tplc="14090005" w:tentative="1">
      <w:start w:val="1"/>
      <w:numFmt w:val="bullet"/>
      <w:lvlText w:val=""/>
      <w:lvlJc w:val="left"/>
      <w:pPr>
        <w:ind w:left="6588" w:hanging="360"/>
      </w:pPr>
      <w:rPr>
        <w:rFonts w:ascii="Wingdings" w:hAnsi="Wingdings" w:hint="default"/>
      </w:rPr>
    </w:lvl>
    <w:lvl w:ilvl="6" w:tplc="14090001" w:tentative="1">
      <w:start w:val="1"/>
      <w:numFmt w:val="bullet"/>
      <w:lvlText w:val=""/>
      <w:lvlJc w:val="left"/>
      <w:pPr>
        <w:ind w:left="7308" w:hanging="360"/>
      </w:pPr>
      <w:rPr>
        <w:rFonts w:ascii="Symbol" w:hAnsi="Symbol" w:hint="default"/>
      </w:rPr>
    </w:lvl>
    <w:lvl w:ilvl="7" w:tplc="14090003" w:tentative="1">
      <w:start w:val="1"/>
      <w:numFmt w:val="bullet"/>
      <w:lvlText w:val="o"/>
      <w:lvlJc w:val="left"/>
      <w:pPr>
        <w:ind w:left="8028" w:hanging="360"/>
      </w:pPr>
      <w:rPr>
        <w:rFonts w:ascii="Courier New" w:hAnsi="Courier New" w:cs="Courier New" w:hint="default"/>
      </w:rPr>
    </w:lvl>
    <w:lvl w:ilvl="8" w:tplc="14090005" w:tentative="1">
      <w:start w:val="1"/>
      <w:numFmt w:val="bullet"/>
      <w:lvlText w:val=""/>
      <w:lvlJc w:val="left"/>
      <w:pPr>
        <w:ind w:left="8748" w:hanging="360"/>
      </w:pPr>
      <w:rPr>
        <w:rFonts w:ascii="Wingdings" w:hAnsi="Wingdings" w:hint="default"/>
      </w:rPr>
    </w:lvl>
  </w:abstractNum>
  <w:abstractNum w:abstractNumId="35" w15:restartNumberingAfterBreak="0">
    <w:nsid w:val="62E00700"/>
    <w:multiLevelType w:val="multilevel"/>
    <w:tmpl w:val="00587820"/>
    <w:name w:val=" 2"/>
    <w:numStyleLink w:val="Headings"/>
  </w:abstractNum>
  <w:abstractNum w:abstractNumId="36" w15:restartNumberingAfterBreak="0">
    <w:nsid w:val="67474D54"/>
    <w:multiLevelType w:val="hybridMultilevel"/>
    <w:tmpl w:val="890064EE"/>
    <w:lvl w:ilvl="0" w:tplc="DAAEFDD8">
      <w:numFmt w:val="bullet"/>
      <w:lvlText w:val="•"/>
      <w:lvlJc w:val="left"/>
      <w:pPr>
        <w:ind w:left="2308" w:hanging="360"/>
      </w:pPr>
      <w:rPr>
        <w:rFonts w:ascii="Arial" w:eastAsia="Times New Roman" w:hAnsi="Arial" w:cs="Arial" w:hint="default"/>
      </w:rPr>
    </w:lvl>
    <w:lvl w:ilvl="1" w:tplc="04090003" w:tentative="1">
      <w:start w:val="1"/>
      <w:numFmt w:val="bullet"/>
      <w:lvlText w:val="o"/>
      <w:lvlJc w:val="left"/>
      <w:pPr>
        <w:ind w:left="3028" w:hanging="360"/>
      </w:pPr>
      <w:rPr>
        <w:rFonts w:ascii="Courier New" w:hAnsi="Courier New" w:cs="Courier New" w:hint="default"/>
      </w:rPr>
    </w:lvl>
    <w:lvl w:ilvl="2" w:tplc="04090005" w:tentative="1">
      <w:start w:val="1"/>
      <w:numFmt w:val="bullet"/>
      <w:lvlText w:val=""/>
      <w:lvlJc w:val="left"/>
      <w:pPr>
        <w:ind w:left="3748" w:hanging="360"/>
      </w:pPr>
      <w:rPr>
        <w:rFonts w:ascii="Wingdings" w:hAnsi="Wingdings" w:hint="default"/>
      </w:rPr>
    </w:lvl>
    <w:lvl w:ilvl="3" w:tplc="04090001" w:tentative="1">
      <w:start w:val="1"/>
      <w:numFmt w:val="bullet"/>
      <w:lvlText w:val=""/>
      <w:lvlJc w:val="left"/>
      <w:pPr>
        <w:ind w:left="4468" w:hanging="360"/>
      </w:pPr>
      <w:rPr>
        <w:rFonts w:ascii="Symbol" w:hAnsi="Symbol" w:hint="default"/>
      </w:rPr>
    </w:lvl>
    <w:lvl w:ilvl="4" w:tplc="04090003" w:tentative="1">
      <w:start w:val="1"/>
      <w:numFmt w:val="bullet"/>
      <w:lvlText w:val="o"/>
      <w:lvlJc w:val="left"/>
      <w:pPr>
        <w:ind w:left="5188" w:hanging="360"/>
      </w:pPr>
      <w:rPr>
        <w:rFonts w:ascii="Courier New" w:hAnsi="Courier New" w:cs="Courier New" w:hint="default"/>
      </w:rPr>
    </w:lvl>
    <w:lvl w:ilvl="5" w:tplc="04090005" w:tentative="1">
      <w:start w:val="1"/>
      <w:numFmt w:val="bullet"/>
      <w:lvlText w:val=""/>
      <w:lvlJc w:val="left"/>
      <w:pPr>
        <w:ind w:left="5908" w:hanging="360"/>
      </w:pPr>
      <w:rPr>
        <w:rFonts w:ascii="Wingdings" w:hAnsi="Wingdings" w:hint="default"/>
      </w:rPr>
    </w:lvl>
    <w:lvl w:ilvl="6" w:tplc="04090001" w:tentative="1">
      <w:start w:val="1"/>
      <w:numFmt w:val="bullet"/>
      <w:lvlText w:val=""/>
      <w:lvlJc w:val="left"/>
      <w:pPr>
        <w:ind w:left="6628" w:hanging="360"/>
      </w:pPr>
      <w:rPr>
        <w:rFonts w:ascii="Symbol" w:hAnsi="Symbol" w:hint="default"/>
      </w:rPr>
    </w:lvl>
    <w:lvl w:ilvl="7" w:tplc="04090003" w:tentative="1">
      <w:start w:val="1"/>
      <w:numFmt w:val="bullet"/>
      <w:lvlText w:val="o"/>
      <w:lvlJc w:val="left"/>
      <w:pPr>
        <w:ind w:left="7348" w:hanging="360"/>
      </w:pPr>
      <w:rPr>
        <w:rFonts w:ascii="Courier New" w:hAnsi="Courier New" w:cs="Courier New" w:hint="default"/>
      </w:rPr>
    </w:lvl>
    <w:lvl w:ilvl="8" w:tplc="04090005" w:tentative="1">
      <w:start w:val="1"/>
      <w:numFmt w:val="bullet"/>
      <w:lvlText w:val=""/>
      <w:lvlJc w:val="left"/>
      <w:pPr>
        <w:ind w:left="8068" w:hanging="360"/>
      </w:pPr>
      <w:rPr>
        <w:rFonts w:ascii="Wingdings" w:hAnsi="Wingdings" w:hint="default"/>
      </w:rPr>
    </w:lvl>
  </w:abstractNum>
  <w:abstractNum w:abstractNumId="37" w15:restartNumberingAfterBreak="0">
    <w:nsid w:val="693C7577"/>
    <w:multiLevelType w:val="hybridMultilevel"/>
    <w:tmpl w:val="46F0D57A"/>
    <w:lvl w:ilvl="0" w:tplc="9BC2D064">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38" w15:restartNumberingAfterBreak="0">
    <w:nsid w:val="6B014DAF"/>
    <w:multiLevelType w:val="hybridMultilevel"/>
    <w:tmpl w:val="BEA2C75A"/>
    <w:lvl w:ilvl="0" w:tplc="8810554C">
      <w:start w:val="2"/>
      <w:numFmt w:val="bullet"/>
      <w:lvlText w:val="-"/>
      <w:lvlJc w:val="left"/>
      <w:pPr>
        <w:ind w:left="1947" w:hanging="360"/>
      </w:pPr>
      <w:rPr>
        <w:rFonts w:ascii="Arial" w:eastAsia="Times New Roman" w:hAnsi="Arial" w:cs="Arial" w:hint="default"/>
      </w:rPr>
    </w:lvl>
    <w:lvl w:ilvl="1" w:tplc="14090003" w:tentative="1">
      <w:start w:val="1"/>
      <w:numFmt w:val="bullet"/>
      <w:lvlText w:val="o"/>
      <w:lvlJc w:val="left"/>
      <w:pPr>
        <w:ind w:left="2667" w:hanging="360"/>
      </w:pPr>
      <w:rPr>
        <w:rFonts w:ascii="Courier New" w:hAnsi="Courier New" w:cs="Courier New" w:hint="default"/>
      </w:rPr>
    </w:lvl>
    <w:lvl w:ilvl="2" w:tplc="14090005" w:tentative="1">
      <w:start w:val="1"/>
      <w:numFmt w:val="bullet"/>
      <w:lvlText w:val=""/>
      <w:lvlJc w:val="left"/>
      <w:pPr>
        <w:ind w:left="3387" w:hanging="360"/>
      </w:pPr>
      <w:rPr>
        <w:rFonts w:ascii="Wingdings" w:hAnsi="Wingdings" w:hint="default"/>
      </w:rPr>
    </w:lvl>
    <w:lvl w:ilvl="3" w:tplc="14090001" w:tentative="1">
      <w:start w:val="1"/>
      <w:numFmt w:val="bullet"/>
      <w:lvlText w:val=""/>
      <w:lvlJc w:val="left"/>
      <w:pPr>
        <w:ind w:left="4107" w:hanging="360"/>
      </w:pPr>
      <w:rPr>
        <w:rFonts w:ascii="Symbol" w:hAnsi="Symbol" w:hint="default"/>
      </w:rPr>
    </w:lvl>
    <w:lvl w:ilvl="4" w:tplc="14090003" w:tentative="1">
      <w:start w:val="1"/>
      <w:numFmt w:val="bullet"/>
      <w:lvlText w:val="o"/>
      <w:lvlJc w:val="left"/>
      <w:pPr>
        <w:ind w:left="4827" w:hanging="360"/>
      </w:pPr>
      <w:rPr>
        <w:rFonts w:ascii="Courier New" w:hAnsi="Courier New" w:cs="Courier New" w:hint="default"/>
      </w:rPr>
    </w:lvl>
    <w:lvl w:ilvl="5" w:tplc="14090005" w:tentative="1">
      <w:start w:val="1"/>
      <w:numFmt w:val="bullet"/>
      <w:lvlText w:val=""/>
      <w:lvlJc w:val="left"/>
      <w:pPr>
        <w:ind w:left="5547" w:hanging="360"/>
      </w:pPr>
      <w:rPr>
        <w:rFonts w:ascii="Wingdings" w:hAnsi="Wingdings" w:hint="default"/>
      </w:rPr>
    </w:lvl>
    <w:lvl w:ilvl="6" w:tplc="14090001" w:tentative="1">
      <w:start w:val="1"/>
      <w:numFmt w:val="bullet"/>
      <w:lvlText w:val=""/>
      <w:lvlJc w:val="left"/>
      <w:pPr>
        <w:ind w:left="6267" w:hanging="360"/>
      </w:pPr>
      <w:rPr>
        <w:rFonts w:ascii="Symbol" w:hAnsi="Symbol" w:hint="default"/>
      </w:rPr>
    </w:lvl>
    <w:lvl w:ilvl="7" w:tplc="14090003" w:tentative="1">
      <w:start w:val="1"/>
      <w:numFmt w:val="bullet"/>
      <w:lvlText w:val="o"/>
      <w:lvlJc w:val="left"/>
      <w:pPr>
        <w:ind w:left="6987" w:hanging="360"/>
      </w:pPr>
      <w:rPr>
        <w:rFonts w:ascii="Courier New" w:hAnsi="Courier New" w:cs="Courier New" w:hint="default"/>
      </w:rPr>
    </w:lvl>
    <w:lvl w:ilvl="8" w:tplc="14090005" w:tentative="1">
      <w:start w:val="1"/>
      <w:numFmt w:val="bullet"/>
      <w:lvlText w:val=""/>
      <w:lvlJc w:val="left"/>
      <w:pPr>
        <w:ind w:left="7707" w:hanging="360"/>
      </w:pPr>
      <w:rPr>
        <w:rFonts w:ascii="Wingdings" w:hAnsi="Wingdings" w:hint="default"/>
      </w:rPr>
    </w:lvl>
  </w:abstractNum>
  <w:abstractNum w:abstractNumId="39" w15:restartNumberingAfterBreak="0">
    <w:nsid w:val="6B380D65"/>
    <w:multiLevelType w:val="hybridMultilevel"/>
    <w:tmpl w:val="14A2015A"/>
    <w:lvl w:ilvl="0" w:tplc="2D3CAF20">
      <w:start w:val="1"/>
      <w:numFmt w:val="bullet"/>
      <w:lvlText w:val=""/>
      <w:lvlJc w:val="left"/>
      <w:pPr>
        <w:ind w:left="2847" w:hanging="360"/>
      </w:pPr>
      <w:rPr>
        <w:rFonts w:ascii="Wingdings" w:hAnsi="Wingdings" w:hint="default"/>
        <w:sz w:val="24"/>
        <w:szCs w:val="24"/>
      </w:rPr>
    </w:lvl>
    <w:lvl w:ilvl="1" w:tplc="14090003" w:tentative="1">
      <w:start w:val="1"/>
      <w:numFmt w:val="bullet"/>
      <w:lvlText w:val="o"/>
      <w:lvlJc w:val="left"/>
      <w:pPr>
        <w:ind w:left="3567" w:hanging="360"/>
      </w:pPr>
      <w:rPr>
        <w:rFonts w:ascii="Courier New" w:hAnsi="Courier New" w:cs="Courier New" w:hint="default"/>
      </w:rPr>
    </w:lvl>
    <w:lvl w:ilvl="2" w:tplc="14090005" w:tentative="1">
      <w:start w:val="1"/>
      <w:numFmt w:val="bullet"/>
      <w:lvlText w:val=""/>
      <w:lvlJc w:val="left"/>
      <w:pPr>
        <w:ind w:left="4287" w:hanging="360"/>
      </w:pPr>
      <w:rPr>
        <w:rFonts w:ascii="Wingdings" w:hAnsi="Wingdings" w:hint="default"/>
      </w:rPr>
    </w:lvl>
    <w:lvl w:ilvl="3" w:tplc="14090001" w:tentative="1">
      <w:start w:val="1"/>
      <w:numFmt w:val="bullet"/>
      <w:lvlText w:val=""/>
      <w:lvlJc w:val="left"/>
      <w:pPr>
        <w:ind w:left="5007" w:hanging="360"/>
      </w:pPr>
      <w:rPr>
        <w:rFonts w:ascii="Symbol" w:hAnsi="Symbol" w:hint="default"/>
      </w:rPr>
    </w:lvl>
    <w:lvl w:ilvl="4" w:tplc="14090003" w:tentative="1">
      <w:start w:val="1"/>
      <w:numFmt w:val="bullet"/>
      <w:lvlText w:val="o"/>
      <w:lvlJc w:val="left"/>
      <w:pPr>
        <w:ind w:left="5727" w:hanging="360"/>
      </w:pPr>
      <w:rPr>
        <w:rFonts w:ascii="Courier New" w:hAnsi="Courier New" w:cs="Courier New" w:hint="default"/>
      </w:rPr>
    </w:lvl>
    <w:lvl w:ilvl="5" w:tplc="14090005" w:tentative="1">
      <w:start w:val="1"/>
      <w:numFmt w:val="bullet"/>
      <w:lvlText w:val=""/>
      <w:lvlJc w:val="left"/>
      <w:pPr>
        <w:ind w:left="6447" w:hanging="360"/>
      </w:pPr>
      <w:rPr>
        <w:rFonts w:ascii="Wingdings" w:hAnsi="Wingdings" w:hint="default"/>
      </w:rPr>
    </w:lvl>
    <w:lvl w:ilvl="6" w:tplc="14090001" w:tentative="1">
      <w:start w:val="1"/>
      <w:numFmt w:val="bullet"/>
      <w:lvlText w:val=""/>
      <w:lvlJc w:val="left"/>
      <w:pPr>
        <w:ind w:left="7167" w:hanging="360"/>
      </w:pPr>
      <w:rPr>
        <w:rFonts w:ascii="Symbol" w:hAnsi="Symbol" w:hint="default"/>
      </w:rPr>
    </w:lvl>
    <w:lvl w:ilvl="7" w:tplc="14090003" w:tentative="1">
      <w:start w:val="1"/>
      <w:numFmt w:val="bullet"/>
      <w:lvlText w:val="o"/>
      <w:lvlJc w:val="left"/>
      <w:pPr>
        <w:ind w:left="7887" w:hanging="360"/>
      </w:pPr>
      <w:rPr>
        <w:rFonts w:ascii="Courier New" w:hAnsi="Courier New" w:cs="Courier New" w:hint="default"/>
      </w:rPr>
    </w:lvl>
    <w:lvl w:ilvl="8" w:tplc="14090005" w:tentative="1">
      <w:start w:val="1"/>
      <w:numFmt w:val="bullet"/>
      <w:lvlText w:val=""/>
      <w:lvlJc w:val="left"/>
      <w:pPr>
        <w:ind w:left="8607" w:hanging="360"/>
      </w:pPr>
      <w:rPr>
        <w:rFonts w:ascii="Wingdings" w:hAnsi="Wingdings" w:hint="default"/>
      </w:rPr>
    </w:lvl>
  </w:abstractNum>
  <w:abstractNum w:abstractNumId="40" w15:restartNumberingAfterBreak="0">
    <w:nsid w:val="6F7652B5"/>
    <w:multiLevelType w:val="multilevel"/>
    <w:tmpl w:val="870C3A68"/>
    <w:lvl w:ilvl="0">
      <w:start w:val="1"/>
      <w:numFmt w:val="decimal"/>
      <w:lvlText w:val="%1."/>
      <w:lvlJc w:val="left"/>
      <w:pPr>
        <w:ind w:left="357" w:hanging="357"/>
      </w:pPr>
      <w:rPr>
        <w:rFonts w:hint="default"/>
      </w:rPr>
    </w:lvl>
    <w:lvl w:ilvl="1">
      <w:start w:val="1"/>
      <w:numFmt w:val="decimal"/>
      <w:lvlText w:val="%1.%2."/>
      <w:lvlJc w:val="left"/>
      <w:pPr>
        <w:tabs>
          <w:tab w:val="num" w:pos="5453"/>
        </w:tabs>
        <w:ind w:left="5130" w:firstLine="0"/>
      </w:pPr>
      <w:rPr>
        <w:rFonts w:hint="default"/>
      </w:rPr>
    </w:lvl>
    <w:lvl w:ilvl="2">
      <w:start w:val="1"/>
      <w:numFmt w:val="bullet"/>
      <w:lvlText w:val=""/>
      <w:lvlJc w:val="left"/>
      <w:pPr>
        <w:ind w:left="2292" w:hanging="874"/>
      </w:pPr>
      <w:rPr>
        <w:rFonts w:ascii="Wingdings" w:hAnsi="Wingdings" w:hint="default"/>
        <w:b w:val="0"/>
        <w:i w:val="0"/>
        <w:color w:val="auto"/>
        <w:sz w:val="20"/>
        <w:szCs w:val="20"/>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1" w15:restartNumberingAfterBreak="0">
    <w:nsid w:val="78150DD1"/>
    <w:multiLevelType w:val="multilevel"/>
    <w:tmpl w:val="00587820"/>
    <w:name w:val=" 16"/>
    <w:numStyleLink w:val="Headings"/>
  </w:abstractNum>
  <w:abstractNum w:abstractNumId="42" w15:restartNumberingAfterBreak="0">
    <w:nsid w:val="793246AE"/>
    <w:multiLevelType w:val="multilevel"/>
    <w:tmpl w:val="00587820"/>
    <w:name w:val=" 7"/>
    <w:numStyleLink w:val="Headings"/>
  </w:abstractNum>
  <w:abstractNum w:abstractNumId="43" w15:restartNumberingAfterBreak="0">
    <w:nsid w:val="7BDC7322"/>
    <w:multiLevelType w:val="hybridMultilevel"/>
    <w:tmpl w:val="52D62C7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D5E463A"/>
    <w:multiLevelType w:val="multilevel"/>
    <w:tmpl w:val="00587820"/>
    <w:name w:val=" 8"/>
    <w:numStyleLink w:val="Headings"/>
  </w:abstractNum>
  <w:abstractNum w:abstractNumId="45" w15:restartNumberingAfterBreak="0">
    <w:nsid w:val="7D9918C9"/>
    <w:multiLevelType w:val="hybridMultilevel"/>
    <w:tmpl w:val="720CD964"/>
    <w:lvl w:ilvl="0" w:tplc="8054B372">
      <w:start w:val="1"/>
      <w:numFmt w:val="bullet"/>
      <w:pStyle w:val="Bullet2"/>
      <w:lvlText w:val="⡯⡯⡯଀⡯稐ட⡯଀଀⡯܀⡯଀⡯଀"/>
      <w:lvlJc w:val="left"/>
      <w:pPr>
        <w:tabs>
          <w:tab w:val="num" w:pos="1800"/>
        </w:tabs>
        <w:ind w:left="1800" w:hanging="360"/>
      </w:pPr>
      <w:rPr>
        <w:rFonts w:ascii="Wingdings" w:hAnsi="Wingdings" w:hint="default"/>
        <w:b/>
        <w:color w:val="auto"/>
      </w:rPr>
    </w:lvl>
    <w:lvl w:ilvl="1" w:tplc="04090003" w:tentative="1">
      <w:start w:val="1"/>
      <w:numFmt w:val="bullet"/>
      <w:lvlText w:val="⡯o⡯o⡯଀o稐ட⡯଀⡯଀"/>
      <w:lvlJc w:val="left"/>
      <w:pPr>
        <w:tabs>
          <w:tab w:val="num" w:pos="1440"/>
        </w:tabs>
        <w:ind w:left="1440" w:hanging="360"/>
      </w:pPr>
      <w:rPr>
        <w:rFonts w:ascii="Courier New" w:hAnsi="Courier New" w:cs="Arial" w:hint="default"/>
      </w:rPr>
    </w:lvl>
    <w:lvl w:ilvl="2" w:tplc="04090005" w:tentative="1">
      <w:start w:val="1"/>
      <w:numFmt w:val="bullet"/>
      <w:lvlText w:val="⡯⡯⡯⡯଀⡯稐ட⡯଀଀⡯܀⡯଀"/>
      <w:lvlJc w:val="left"/>
      <w:pPr>
        <w:tabs>
          <w:tab w:val="num" w:pos="2160"/>
        </w:tabs>
        <w:ind w:left="2160" w:hanging="360"/>
      </w:pPr>
      <w:rPr>
        <w:rFonts w:ascii="Wingdings" w:hAnsi="Wingdings" w:hint="default"/>
      </w:rPr>
    </w:lvl>
    <w:lvl w:ilvl="3" w:tplc="04090001" w:tentative="1">
      <w:start w:val="1"/>
      <w:numFmt w:val="bullet"/>
      <w:lvlText w:val="o⡯o⡯଀o稐ட⡯଀⡯଀㿀݀⡯଀"/>
      <w:lvlJc w:val="left"/>
      <w:pPr>
        <w:tabs>
          <w:tab w:val="num" w:pos="2880"/>
        </w:tabs>
        <w:ind w:left="2880" w:hanging="360"/>
      </w:pPr>
      <w:rPr>
        <w:rFonts w:ascii="Symbol" w:hAnsi="Symbol" w:hint="default"/>
      </w:rPr>
    </w:lvl>
    <w:lvl w:ilvl="4" w:tplc="04090003" w:tentative="1">
      <w:start w:val="1"/>
      <w:numFmt w:val="bullet"/>
      <w:lvlText w:val="⡯⡯⡯⡯⡯଀⡯稐ட⡯଀଀⡯܀"/>
      <w:lvlJc w:val="left"/>
      <w:pPr>
        <w:tabs>
          <w:tab w:val="num" w:pos="3600"/>
        </w:tabs>
        <w:ind w:left="3600" w:hanging="360"/>
      </w:pPr>
      <w:rPr>
        <w:rFonts w:ascii="Courier New" w:hAnsi="Courier New" w:cs="Arial" w:hint="default"/>
      </w:rPr>
    </w:lvl>
    <w:lvl w:ilvl="5" w:tplc="04090005" w:tentative="1">
      <w:start w:val="1"/>
      <w:numFmt w:val="bullet"/>
      <w:lvlText w:val="o⡯଀o稐ட⡯଀⡯଀㿀݀⡯଀஬⡯଀"/>
      <w:lvlJc w:val="left"/>
      <w:pPr>
        <w:tabs>
          <w:tab w:val="num" w:pos="4320"/>
        </w:tabs>
        <w:ind w:left="4320" w:hanging="360"/>
      </w:pPr>
      <w:rPr>
        <w:rFonts w:ascii="Wingdings" w:hAnsi="Wingdings" w:hint="default"/>
      </w:rPr>
    </w:lvl>
    <w:lvl w:ilvl="6" w:tplc="04090001" w:tentative="1">
      <w:start w:val="1"/>
      <w:numFmt w:val="bullet"/>
      <w:lvlText w:val="⡯⡯⡯⡯⡯⡯଀⡯稐ட⡯଀଀"/>
      <w:lvlJc w:val="left"/>
      <w:pPr>
        <w:tabs>
          <w:tab w:val="num" w:pos="5040"/>
        </w:tabs>
        <w:ind w:left="5040" w:hanging="360"/>
      </w:pPr>
      <w:rPr>
        <w:rFonts w:ascii="Symbol" w:hAnsi="Symbol" w:hint="default"/>
      </w:rPr>
    </w:lvl>
    <w:lvl w:ilvl="7" w:tplc="04090003" w:tentative="1">
      <w:start w:val="1"/>
      <w:numFmt w:val="bullet"/>
      <w:lvlText w:val=""/>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A167B8"/>
    <w:multiLevelType w:val="hybridMultilevel"/>
    <w:tmpl w:val="0E16BB3E"/>
    <w:lvl w:ilvl="0" w:tplc="9BC2D064">
      <w:start w:val="1"/>
      <w:numFmt w:val="bullet"/>
      <w:lvlText w:val=""/>
      <w:lvlJc w:val="left"/>
      <w:pPr>
        <w:ind w:left="1800" w:hanging="360"/>
      </w:pPr>
      <w:rPr>
        <w:rFonts w:ascii="Symbol" w:hAnsi="Symbol" w:hint="default"/>
      </w:rPr>
    </w:lvl>
    <w:lvl w:ilvl="1" w:tplc="14090005">
      <w:start w:val="1"/>
      <w:numFmt w:val="bullet"/>
      <w:lvlText w:val=""/>
      <w:lvlJc w:val="left"/>
      <w:pPr>
        <w:ind w:left="2520" w:hanging="360"/>
      </w:pPr>
      <w:rPr>
        <w:rFonts w:ascii="Wingdings" w:hAnsi="Wingdings" w:hint="default"/>
      </w:rPr>
    </w:lvl>
    <w:lvl w:ilvl="2" w:tplc="DAAEFDD8">
      <w:numFmt w:val="bullet"/>
      <w:lvlText w:val="•"/>
      <w:lvlJc w:val="left"/>
      <w:pPr>
        <w:ind w:left="5760" w:hanging="720"/>
      </w:pPr>
      <w:rPr>
        <w:rFonts w:ascii="Arial" w:eastAsia="Times New Roman" w:hAnsi="Arial" w:cs="Arial" w:hint="default"/>
      </w:r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491221983">
    <w:abstractNumId w:val="32"/>
  </w:num>
  <w:num w:numId="2" w16cid:durableId="1104350315">
    <w:abstractNumId w:val="45"/>
  </w:num>
  <w:num w:numId="3" w16cid:durableId="2101900492">
    <w:abstractNumId w:val="30"/>
  </w:num>
  <w:num w:numId="4" w16cid:durableId="1035932870">
    <w:abstractNumId w:val="33"/>
  </w:num>
  <w:num w:numId="5" w16cid:durableId="166331782">
    <w:abstractNumId w:val="3"/>
  </w:num>
  <w:num w:numId="6" w16cid:durableId="1793939457">
    <w:abstractNumId w:val="37"/>
  </w:num>
  <w:num w:numId="7" w16cid:durableId="200553838">
    <w:abstractNumId w:val="46"/>
  </w:num>
  <w:num w:numId="8" w16cid:durableId="1098671654">
    <w:abstractNumId w:val="24"/>
  </w:num>
  <w:num w:numId="9" w16cid:durableId="1233194941">
    <w:abstractNumId w:val="31"/>
  </w:num>
  <w:num w:numId="10" w16cid:durableId="1677076457">
    <w:abstractNumId w:val="38"/>
  </w:num>
  <w:num w:numId="11" w16cid:durableId="1509249433">
    <w:abstractNumId w:val="7"/>
  </w:num>
  <w:num w:numId="12" w16cid:durableId="25719311">
    <w:abstractNumId w:val="8"/>
  </w:num>
  <w:num w:numId="13" w16cid:durableId="557939597">
    <w:abstractNumId w:val="34"/>
  </w:num>
  <w:num w:numId="14" w16cid:durableId="1831601117">
    <w:abstractNumId w:val="20"/>
  </w:num>
  <w:num w:numId="15" w16cid:durableId="2139956127">
    <w:abstractNumId w:val="16"/>
  </w:num>
  <w:num w:numId="16" w16cid:durableId="1034765391">
    <w:abstractNumId w:val="10"/>
  </w:num>
  <w:num w:numId="17" w16cid:durableId="103502455">
    <w:abstractNumId w:val="2"/>
  </w:num>
  <w:num w:numId="18" w16cid:durableId="133522870">
    <w:abstractNumId w:val="28"/>
  </w:num>
  <w:num w:numId="19" w16cid:durableId="122309326">
    <w:abstractNumId w:val="15"/>
  </w:num>
  <w:num w:numId="20" w16cid:durableId="1086533665">
    <w:abstractNumId w:val="6"/>
  </w:num>
  <w:num w:numId="21" w16cid:durableId="1434665521">
    <w:abstractNumId w:val="27"/>
  </w:num>
  <w:num w:numId="22" w16cid:durableId="47343266">
    <w:abstractNumId w:val="19"/>
  </w:num>
  <w:num w:numId="23" w16cid:durableId="1469664536">
    <w:abstractNumId w:val="26"/>
  </w:num>
  <w:num w:numId="24" w16cid:durableId="593512026">
    <w:abstractNumId w:val="13"/>
  </w:num>
  <w:num w:numId="25" w16cid:durableId="2141073603">
    <w:abstractNumId w:val="43"/>
  </w:num>
  <w:num w:numId="26" w16cid:durableId="1598170758">
    <w:abstractNumId w:val="0"/>
  </w:num>
  <w:num w:numId="27" w16cid:durableId="1941790929">
    <w:abstractNumId w:val="40"/>
  </w:num>
  <w:num w:numId="28" w16cid:durableId="1306818840">
    <w:abstractNumId w:val="39"/>
  </w:num>
  <w:num w:numId="29" w16cid:durableId="1374190962">
    <w:abstractNumId w:val="36"/>
  </w:num>
  <w:num w:numId="30" w16cid:durableId="1754469959">
    <w:abstractNumId w:val="11"/>
  </w:num>
  <w:num w:numId="31" w16cid:durableId="153068341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050">
      <o:colormru v:ext="edit" colors="yellow,#a40900,#93182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65"/>
    <w:rsid w:val="0000028F"/>
    <w:rsid w:val="00000A87"/>
    <w:rsid w:val="0000106C"/>
    <w:rsid w:val="00001C0B"/>
    <w:rsid w:val="00001CEA"/>
    <w:rsid w:val="00001D9F"/>
    <w:rsid w:val="00002427"/>
    <w:rsid w:val="00002793"/>
    <w:rsid w:val="00002C5F"/>
    <w:rsid w:val="00003261"/>
    <w:rsid w:val="00003599"/>
    <w:rsid w:val="00003B6A"/>
    <w:rsid w:val="00003DE4"/>
    <w:rsid w:val="000047D7"/>
    <w:rsid w:val="000048E3"/>
    <w:rsid w:val="00005457"/>
    <w:rsid w:val="000060AF"/>
    <w:rsid w:val="0000693D"/>
    <w:rsid w:val="00006996"/>
    <w:rsid w:val="00006EAB"/>
    <w:rsid w:val="00007CD8"/>
    <w:rsid w:val="000101D8"/>
    <w:rsid w:val="000117F4"/>
    <w:rsid w:val="00011A7D"/>
    <w:rsid w:val="00012380"/>
    <w:rsid w:val="000124EB"/>
    <w:rsid w:val="000126C6"/>
    <w:rsid w:val="00012837"/>
    <w:rsid w:val="0001294B"/>
    <w:rsid w:val="00012DDD"/>
    <w:rsid w:val="00013016"/>
    <w:rsid w:val="00013205"/>
    <w:rsid w:val="0001367B"/>
    <w:rsid w:val="00014F7F"/>
    <w:rsid w:val="0001508D"/>
    <w:rsid w:val="00015322"/>
    <w:rsid w:val="00016F42"/>
    <w:rsid w:val="0001723D"/>
    <w:rsid w:val="00017A71"/>
    <w:rsid w:val="00017ECD"/>
    <w:rsid w:val="000201C5"/>
    <w:rsid w:val="00020E61"/>
    <w:rsid w:val="00022AC2"/>
    <w:rsid w:val="00022B12"/>
    <w:rsid w:val="00022FA8"/>
    <w:rsid w:val="000231FA"/>
    <w:rsid w:val="00023F09"/>
    <w:rsid w:val="00024721"/>
    <w:rsid w:val="00025035"/>
    <w:rsid w:val="00026603"/>
    <w:rsid w:val="00026C21"/>
    <w:rsid w:val="00026FB5"/>
    <w:rsid w:val="00027AA0"/>
    <w:rsid w:val="000305C9"/>
    <w:rsid w:val="000306E2"/>
    <w:rsid w:val="00030CD7"/>
    <w:rsid w:val="0003152D"/>
    <w:rsid w:val="00032E67"/>
    <w:rsid w:val="00032FAF"/>
    <w:rsid w:val="0003357C"/>
    <w:rsid w:val="000336C0"/>
    <w:rsid w:val="000338A6"/>
    <w:rsid w:val="00033B60"/>
    <w:rsid w:val="0003415C"/>
    <w:rsid w:val="00034515"/>
    <w:rsid w:val="0003653F"/>
    <w:rsid w:val="0003675F"/>
    <w:rsid w:val="00036A8C"/>
    <w:rsid w:val="00036CA2"/>
    <w:rsid w:val="00036FC7"/>
    <w:rsid w:val="00036FCB"/>
    <w:rsid w:val="00036FE9"/>
    <w:rsid w:val="00037460"/>
    <w:rsid w:val="000400FE"/>
    <w:rsid w:val="00040758"/>
    <w:rsid w:val="00040DE4"/>
    <w:rsid w:val="00041240"/>
    <w:rsid w:val="00043065"/>
    <w:rsid w:val="000448A6"/>
    <w:rsid w:val="00045059"/>
    <w:rsid w:val="00045638"/>
    <w:rsid w:val="00046D4B"/>
    <w:rsid w:val="000510DF"/>
    <w:rsid w:val="0005190F"/>
    <w:rsid w:val="00051B2B"/>
    <w:rsid w:val="00052715"/>
    <w:rsid w:val="00052780"/>
    <w:rsid w:val="00052E70"/>
    <w:rsid w:val="000531AF"/>
    <w:rsid w:val="00053523"/>
    <w:rsid w:val="00053747"/>
    <w:rsid w:val="00053F0D"/>
    <w:rsid w:val="000544AC"/>
    <w:rsid w:val="00055030"/>
    <w:rsid w:val="000552E5"/>
    <w:rsid w:val="00055989"/>
    <w:rsid w:val="00056A32"/>
    <w:rsid w:val="00056F3F"/>
    <w:rsid w:val="00057947"/>
    <w:rsid w:val="00057D0C"/>
    <w:rsid w:val="00061095"/>
    <w:rsid w:val="00061E32"/>
    <w:rsid w:val="00062099"/>
    <w:rsid w:val="00062302"/>
    <w:rsid w:val="00062667"/>
    <w:rsid w:val="00062FCC"/>
    <w:rsid w:val="00063395"/>
    <w:rsid w:val="000633C6"/>
    <w:rsid w:val="00063AD9"/>
    <w:rsid w:val="00063B6A"/>
    <w:rsid w:val="0006401C"/>
    <w:rsid w:val="000644C7"/>
    <w:rsid w:val="00064A16"/>
    <w:rsid w:val="00064D99"/>
    <w:rsid w:val="00064E88"/>
    <w:rsid w:val="00064F33"/>
    <w:rsid w:val="0006566F"/>
    <w:rsid w:val="00066C8A"/>
    <w:rsid w:val="00066EFD"/>
    <w:rsid w:val="000719AC"/>
    <w:rsid w:val="000719E9"/>
    <w:rsid w:val="0007226F"/>
    <w:rsid w:val="00072929"/>
    <w:rsid w:val="00073223"/>
    <w:rsid w:val="00073332"/>
    <w:rsid w:val="00073BDD"/>
    <w:rsid w:val="000740C8"/>
    <w:rsid w:val="00074682"/>
    <w:rsid w:val="00074E3B"/>
    <w:rsid w:val="00074EFA"/>
    <w:rsid w:val="0007583F"/>
    <w:rsid w:val="00075EA3"/>
    <w:rsid w:val="0007622A"/>
    <w:rsid w:val="000763FC"/>
    <w:rsid w:val="00077476"/>
    <w:rsid w:val="0007761E"/>
    <w:rsid w:val="00077917"/>
    <w:rsid w:val="000801F9"/>
    <w:rsid w:val="0008034F"/>
    <w:rsid w:val="00081191"/>
    <w:rsid w:val="00081618"/>
    <w:rsid w:val="00081A81"/>
    <w:rsid w:val="00082D30"/>
    <w:rsid w:val="000835AF"/>
    <w:rsid w:val="000836DB"/>
    <w:rsid w:val="00083737"/>
    <w:rsid w:val="0008382E"/>
    <w:rsid w:val="000842FD"/>
    <w:rsid w:val="0008437B"/>
    <w:rsid w:val="00084EF6"/>
    <w:rsid w:val="00085FEC"/>
    <w:rsid w:val="00086021"/>
    <w:rsid w:val="00086708"/>
    <w:rsid w:val="00086FEC"/>
    <w:rsid w:val="000906AF"/>
    <w:rsid w:val="000915A9"/>
    <w:rsid w:val="00091F96"/>
    <w:rsid w:val="0009204B"/>
    <w:rsid w:val="00092258"/>
    <w:rsid w:val="000924F1"/>
    <w:rsid w:val="00093259"/>
    <w:rsid w:val="000932EC"/>
    <w:rsid w:val="000937C2"/>
    <w:rsid w:val="00094765"/>
    <w:rsid w:val="00094973"/>
    <w:rsid w:val="00095F63"/>
    <w:rsid w:val="0009659D"/>
    <w:rsid w:val="00096E65"/>
    <w:rsid w:val="000A01FF"/>
    <w:rsid w:val="000A17B5"/>
    <w:rsid w:val="000A1D07"/>
    <w:rsid w:val="000A21E1"/>
    <w:rsid w:val="000A244A"/>
    <w:rsid w:val="000A3012"/>
    <w:rsid w:val="000A4232"/>
    <w:rsid w:val="000A47AA"/>
    <w:rsid w:val="000A4895"/>
    <w:rsid w:val="000A4E5E"/>
    <w:rsid w:val="000A56E9"/>
    <w:rsid w:val="000A5E57"/>
    <w:rsid w:val="000A786C"/>
    <w:rsid w:val="000A7975"/>
    <w:rsid w:val="000A7A29"/>
    <w:rsid w:val="000A7A3D"/>
    <w:rsid w:val="000A7AC9"/>
    <w:rsid w:val="000A7EDE"/>
    <w:rsid w:val="000B0D91"/>
    <w:rsid w:val="000B1081"/>
    <w:rsid w:val="000B1341"/>
    <w:rsid w:val="000B20DD"/>
    <w:rsid w:val="000B2655"/>
    <w:rsid w:val="000B38E1"/>
    <w:rsid w:val="000B4291"/>
    <w:rsid w:val="000B4987"/>
    <w:rsid w:val="000B4A8E"/>
    <w:rsid w:val="000B502D"/>
    <w:rsid w:val="000B792B"/>
    <w:rsid w:val="000B7B65"/>
    <w:rsid w:val="000C0125"/>
    <w:rsid w:val="000C08CA"/>
    <w:rsid w:val="000C0902"/>
    <w:rsid w:val="000C0FD2"/>
    <w:rsid w:val="000C192C"/>
    <w:rsid w:val="000C2539"/>
    <w:rsid w:val="000C2DC5"/>
    <w:rsid w:val="000C3328"/>
    <w:rsid w:val="000C3D34"/>
    <w:rsid w:val="000C44DB"/>
    <w:rsid w:val="000C4974"/>
    <w:rsid w:val="000C4DB2"/>
    <w:rsid w:val="000C514F"/>
    <w:rsid w:val="000C5442"/>
    <w:rsid w:val="000C5AA3"/>
    <w:rsid w:val="000C6935"/>
    <w:rsid w:val="000C7764"/>
    <w:rsid w:val="000C781E"/>
    <w:rsid w:val="000D0110"/>
    <w:rsid w:val="000D0BB9"/>
    <w:rsid w:val="000D2405"/>
    <w:rsid w:val="000D2750"/>
    <w:rsid w:val="000D31BC"/>
    <w:rsid w:val="000D31BD"/>
    <w:rsid w:val="000D3431"/>
    <w:rsid w:val="000D4576"/>
    <w:rsid w:val="000D472C"/>
    <w:rsid w:val="000D4C18"/>
    <w:rsid w:val="000D6352"/>
    <w:rsid w:val="000D69E4"/>
    <w:rsid w:val="000D6C1A"/>
    <w:rsid w:val="000D785C"/>
    <w:rsid w:val="000D790B"/>
    <w:rsid w:val="000D79CB"/>
    <w:rsid w:val="000D7A04"/>
    <w:rsid w:val="000E0DDB"/>
    <w:rsid w:val="000E1421"/>
    <w:rsid w:val="000E1CAF"/>
    <w:rsid w:val="000E1D95"/>
    <w:rsid w:val="000E30B7"/>
    <w:rsid w:val="000E4DBE"/>
    <w:rsid w:val="000E550D"/>
    <w:rsid w:val="000E5E2A"/>
    <w:rsid w:val="000E6E11"/>
    <w:rsid w:val="000E7435"/>
    <w:rsid w:val="000E7F3D"/>
    <w:rsid w:val="000F0592"/>
    <w:rsid w:val="000F0C3C"/>
    <w:rsid w:val="000F0D35"/>
    <w:rsid w:val="000F179B"/>
    <w:rsid w:val="000F19C5"/>
    <w:rsid w:val="000F1A83"/>
    <w:rsid w:val="000F1D57"/>
    <w:rsid w:val="000F1DF9"/>
    <w:rsid w:val="000F2EC5"/>
    <w:rsid w:val="000F3175"/>
    <w:rsid w:val="000F3B70"/>
    <w:rsid w:val="000F4F89"/>
    <w:rsid w:val="000F5277"/>
    <w:rsid w:val="000F5553"/>
    <w:rsid w:val="000F56E2"/>
    <w:rsid w:val="000F5A3B"/>
    <w:rsid w:val="000F6265"/>
    <w:rsid w:val="000F640C"/>
    <w:rsid w:val="000F77B4"/>
    <w:rsid w:val="001009B5"/>
    <w:rsid w:val="00101DC7"/>
    <w:rsid w:val="001024E9"/>
    <w:rsid w:val="00102D1D"/>
    <w:rsid w:val="001030EF"/>
    <w:rsid w:val="001032CA"/>
    <w:rsid w:val="00104260"/>
    <w:rsid w:val="001046A2"/>
    <w:rsid w:val="00104B3A"/>
    <w:rsid w:val="00104B5B"/>
    <w:rsid w:val="00105046"/>
    <w:rsid w:val="001068D8"/>
    <w:rsid w:val="00106B55"/>
    <w:rsid w:val="00106BE8"/>
    <w:rsid w:val="00107F34"/>
    <w:rsid w:val="001102B4"/>
    <w:rsid w:val="001103AC"/>
    <w:rsid w:val="0011094F"/>
    <w:rsid w:val="00110B85"/>
    <w:rsid w:val="00110BD6"/>
    <w:rsid w:val="00111159"/>
    <w:rsid w:val="0011169A"/>
    <w:rsid w:val="001116EB"/>
    <w:rsid w:val="001117AE"/>
    <w:rsid w:val="001121CB"/>
    <w:rsid w:val="00112CC4"/>
    <w:rsid w:val="0011319E"/>
    <w:rsid w:val="0011391E"/>
    <w:rsid w:val="00113D7A"/>
    <w:rsid w:val="001148E4"/>
    <w:rsid w:val="00114D5A"/>
    <w:rsid w:val="00114D8C"/>
    <w:rsid w:val="00115800"/>
    <w:rsid w:val="00115979"/>
    <w:rsid w:val="0011639B"/>
    <w:rsid w:val="00116FC8"/>
    <w:rsid w:val="001170B1"/>
    <w:rsid w:val="00120B9C"/>
    <w:rsid w:val="00120C75"/>
    <w:rsid w:val="00120C97"/>
    <w:rsid w:val="00120E55"/>
    <w:rsid w:val="00121074"/>
    <w:rsid w:val="0012185B"/>
    <w:rsid w:val="00122B0A"/>
    <w:rsid w:val="0012366A"/>
    <w:rsid w:val="001237AD"/>
    <w:rsid w:val="00124510"/>
    <w:rsid w:val="001246DF"/>
    <w:rsid w:val="00124A9B"/>
    <w:rsid w:val="00124FFA"/>
    <w:rsid w:val="00125A23"/>
    <w:rsid w:val="00125AEE"/>
    <w:rsid w:val="00126100"/>
    <w:rsid w:val="0012699F"/>
    <w:rsid w:val="00126F66"/>
    <w:rsid w:val="00126FDD"/>
    <w:rsid w:val="001274FD"/>
    <w:rsid w:val="0012793B"/>
    <w:rsid w:val="00127B52"/>
    <w:rsid w:val="00130F2C"/>
    <w:rsid w:val="001318EF"/>
    <w:rsid w:val="00132089"/>
    <w:rsid w:val="0013279E"/>
    <w:rsid w:val="00132909"/>
    <w:rsid w:val="001348F5"/>
    <w:rsid w:val="00135052"/>
    <w:rsid w:val="001351E2"/>
    <w:rsid w:val="0013594B"/>
    <w:rsid w:val="00135CF0"/>
    <w:rsid w:val="001365B5"/>
    <w:rsid w:val="00136BBE"/>
    <w:rsid w:val="00137C20"/>
    <w:rsid w:val="00137D94"/>
    <w:rsid w:val="0014046D"/>
    <w:rsid w:val="001406C7"/>
    <w:rsid w:val="00140918"/>
    <w:rsid w:val="001409CF"/>
    <w:rsid w:val="00140E0D"/>
    <w:rsid w:val="001414D9"/>
    <w:rsid w:val="001421A6"/>
    <w:rsid w:val="001423FE"/>
    <w:rsid w:val="00142EEF"/>
    <w:rsid w:val="001448F3"/>
    <w:rsid w:val="00144BB2"/>
    <w:rsid w:val="001454CB"/>
    <w:rsid w:val="001462F7"/>
    <w:rsid w:val="00146577"/>
    <w:rsid w:val="00146636"/>
    <w:rsid w:val="00147613"/>
    <w:rsid w:val="00147931"/>
    <w:rsid w:val="00147A49"/>
    <w:rsid w:val="00150333"/>
    <w:rsid w:val="001506BC"/>
    <w:rsid w:val="00150753"/>
    <w:rsid w:val="0015153B"/>
    <w:rsid w:val="00151BB0"/>
    <w:rsid w:val="00151FC6"/>
    <w:rsid w:val="0015211A"/>
    <w:rsid w:val="00152406"/>
    <w:rsid w:val="0015273A"/>
    <w:rsid w:val="00152EB3"/>
    <w:rsid w:val="00154416"/>
    <w:rsid w:val="001548F7"/>
    <w:rsid w:val="001553A2"/>
    <w:rsid w:val="00156B93"/>
    <w:rsid w:val="001574F8"/>
    <w:rsid w:val="00157553"/>
    <w:rsid w:val="00157BE6"/>
    <w:rsid w:val="00157E10"/>
    <w:rsid w:val="00157EA2"/>
    <w:rsid w:val="00160337"/>
    <w:rsid w:val="0016094B"/>
    <w:rsid w:val="00160B3C"/>
    <w:rsid w:val="001619EF"/>
    <w:rsid w:val="001628FD"/>
    <w:rsid w:val="001640DC"/>
    <w:rsid w:val="00164AC4"/>
    <w:rsid w:val="00164D97"/>
    <w:rsid w:val="001658C4"/>
    <w:rsid w:val="00166460"/>
    <w:rsid w:val="001674B9"/>
    <w:rsid w:val="001678CC"/>
    <w:rsid w:val="00167D6C"/>
    <w:rsid w:val="00170703"/>
    <w:rsid w:val="00171181"/>
    <w:rsid w:val="00171F3F"/>
    <w:rsid w:val="001727E0"/>
    <w:rsid w:val="001728A7"/>
    <w:rsid w:val="0017372B"/>
    <w:rsid w:val="00173D92"/>
    <w:rsid w:val="0017477B"/>
    <w:rsid w:val="00174D0C"/>
    <w:rsid w:val="0017584B"/>
    <w:rsid w:val="00175FC5"/>
    <w:rsid w:val="001770B0"/>
    <w:rsid w:val="001774B8"/>
    <w:rsid w:val="0018096F"/>
    <w:rsid w:val="00181D5B"/>
    <w:rsid w:val="0018407A"/>
    <w:rsid w:val="001846B8"/>
    <w:rsid w:val="001846CD"/>
    <w:rsid w:val="00184E78"/>
    <w:rsid w:val="00184F74"/>
    <w:rsid w:val="00184FB0"/>
    <w:rsid w:val="001851CD"/>
    <w:rsid w:val="0018599B"/>
    <w:rsid w:val="001866E3"/>
    <w:rsid w:val="00186B0B"/>
    <w:rsid w:val="001876C7"/>
    <w:rsid w:val="001879C8"/>
    <w:rsid w:val="0019022A"/>
    <w:rsid w:val="0019056B"/>
    <w:rsid w:val="00190B6F"/>
    <w:rsid w:val="001913B0"/>
    <w:rsid w:val="001913EC"/>
    <w:rsid w:val="001914D4"/>
    <w:rsid w:val="00192069"/>
    <w:rsid w:val="0019281B"/>
    <w:rsid w:val="00192D5B"/>
    <w:rsid w:val="00192D66"/>
    <w:rsid w:val="00192D7C"/>
    <w:rsid w:val="001937B2"/>
    <w:rsid w:val="00193A2B"/>
    <w:rsid w:val="00194422"/>
    <w:rsid w:val="00195042"/>
    <w:rsid w:val="001950DA"/>
    <w:rsid w:val="00195A2E"/>
    <w:rsid w:val="0019731A"/>
    <w:rsid w:val="001979A7"/>
    <w:rsid w:val="001979E2"/>
    <w:rsid w:val="001A2324"/>
    <w:rsid w:val="001A232D"/>
    <w:rsid w:val="001A2444"/>
    <w:rsid w:val="001A2814"/>
    <w:rsid w:val="001A47B9"/>
    <w:rsid w:val="001A47E6"/>
    <w:rsid w:val="001A4CA7"/>
    <w:rsid w:val="001A55D7"/>
    <w:rsid w:val="001A703A"/>
    <w:rsid w:val="001A7580"/>
    <w:rsid w:val="001B062B"/>
    <w:rsid w:val="001B0ACE"/>
    <w:rsid w:val="001B103B"/>
    <w:rsid w:val="001B1495"/>
    <w:rsid w:val="001B14FB"/>
    <w:rsid w:val="001B17F4"/>
    <w:rsid w:val="001B27F0"/>
    <w:rsid w:val="001B2B3E"/>
    <w:rsid w:val="001B2D2D"/>
    <w:rsid w:val="001B427D"/>
    <w:rsid w:val="001B447B"/>
    <w:rsid w:val="001B45DA"/>
    <w:rsid w:val="001B4B0E"/>
    <w:rsid w:val="001B5799"/>
    <w:rsid w:val="001B58F9"/>
    <w:rsid w:val="001B604C"/>
    <w:rsid w:val="001B66AE"/>
    <w:rsid w:val="001B682E"/>
    <w:rsid w:val="001B6EA4"/>
    <w:rsid w:val="001B6F5A"/>
    <w:rsid w:val="001B79BD"/>
    <w:rsid w:val="001C0EEC"/>
    <w:rsid w:val="001C11F5"/>
    <w:rsid w:val="001C1578"/>
    <w:rsid w:val="001C2115"/>
    <w:rsid w:val="001C2BB2"/>
    <w:rsid w:val="001C308C"/>
    <w:rsid w:val="001C37CB"/>
    <w:rsid w:val="001C42F5"/>
    <w:rsid w:val="001C4D3E"/>
    <w:rsid w:val="001C4FD0"/>
    <w:rsid w:val="001C4FF0"/>
    <w:rsid w:val="001C6327"/>
    <w:rsid w:val="001D04CF"/>
    <w:rsid w:val="001D08F8"/>
    <w:rsid w:val="001D0D41"/>
    <w:rsid w:val="001D171C"/>
    <w:rsid w:val="001D1B0A"/>
    <w:rsid w:val="001D2290"/>
    <w:rsid w:val="001D2925"/>
    <w:rsid w:val="001D2DEA"/>
    <w:rsid w:val="001D31A3"/>
    <w:rsid w:val="001D32C0"/>
    <w:rsid w:val="001D3B9B"/>
    <w:rsid w:val="001D432B"/>
    <w:rsid w:val="001D4973"/>
    <w:rsid w:val="001D5D76"/>
    <w:rsid w:val="001D67FC"/>
    <w:rsid w:val="001D6F8F"/>
    <w:rsid w:val="001D7849"/>
    <w:rsid w:val="001E07DB"/>
    <w:rsid w:val="001E1391"/>
    <w:rsid w:val="001E1455"/>
    <w:rsid w:val="001E2F3F"/>
    <w:rsid w:val="001E43C6"/>
    <w:rsid w:val="001E567E"/>
    <w:rsid w:val="001E6088"/>
    <w:rsid w:val="001E61A6"/>
    <w:rsid w:val="001E6FC2"/>
    <w:rsid w:val="001E76B5"/>
    <w:rsid w:val="001E7937"/>
    <w:rsid w:val="001F033D"/>
    <w:rsid w:val="001F048E"/>
    <w:rsid w:val="001F185B"/>
    <w:rsid w:val="001F18B6"/>
    <w:rsid w:val="001F1DBE"/>
    <w:rsid w:val="001F35E3"/>
    <w:rsid w:val="001F38A1"/>
    <w:rsid w:val="001F4236"/>
    <w:rsid w:val="001F4A60"/>
    <w:rsid w:val="001F5C52"/>
    <w:rsid w:val="001F5CF4"/>
    <w:rsid w:val="001F5F0B"/>
    <w:rsid w:val="001F6285"/>
    <w:rsid w:val="001F67D8"/>
    <w:rsid w:val="001F7578"/>
    <w:rsid w:val="001F7C18"/>
    <w:rsid w:val="001F7E37"/>
    <w:rsid w:val="001F7FB7"/>
    <w:rsid w:val="00200318"/>
    <w:rsid w:val="002004B5"/>
    <w:rsid w:val="002007A9"/>
    <w:rsid w:val="002008DA"/>
    <w:rsid w:val="00200B40"/>
    <w:rsid w:val="002015CD"/>
    <w:rsid w:val="00201C43"/>
    <w:rsid w:val="00201C91"/>
    <w:rsid w:val="00201D35"/>
    <w:rsid w:val="0020218E"/>
    <w:rsid w:val="0020228B"/>
    <w:rsid w:val="00202430"/>
    <w:rsid w:val="002034B4"/>
    <w:rsid w:val="0020356F"/>
    <w:rsid w:val="002041AC"/>
    <w:rsid w:val="00204D52"/>
    <w:rsid w:val="00207A74"/>
    <w:rsid w:val="00207F58"/>
    <w:rsid w:val="0021030D"/>
    <w:rsid w:val="00210430"/>
    <w:rsid w:val="00210FC6"/>
    <w:rsid w:val="00211A8A"/>
    <w:rsid w:val="0021203F"/>
    <w:rsid w:val="002128BC"/>
    <w:rsid w:val="0021301D"/>
    <w:rsid w:val="00213544"/>
    <w:rsid w:val="00214031"/>
    <w:rsid w:val="00214FC5"/>
    <w:rsid w:val="002155C0"/>
    <w:rsid w:val="00216986"/>
    <w:rsid w:val="00216A06"/>
    <w:rsid w:val="00216C7F"/>
    <w:rsid w:val="00217070"/>
    <w:rsid w:val="002175B9"/>
    <w:rsid w:val="00220078"/>
    <w:rsid w:val="002207E6"/>
    <w:rsid w:val="002207F6"/>
    <w:rsid w:val="00221DE4"/>
    <w:rsid w:val="00222340"/>
    <w:rsid w:val="0022280B"/>
    <w:rsid w:val="00222AE8"/>
    <w:rsid w:val="002230A9"/>
    <w:rsid w:val="00223D7C"/>
    <w:rsid w:val="00223E52"/>
    <w:rsid w:val="00224117"/>
    <w:rsid w:val="00224B25"/>
    <w:rsid w:val="00224C78"/>
    <w:rsid w:val="00224C89"/>
    <w:rsid w:val="00224F9B"/>
    <w:rsid w:val="002251F3"/>
    <w:rsid w:val="00225FA7"/>
    <w:rsid w:val="002266E9"/>
    <w:rsid w:val="00226A53"/>
    <w:rsid w:val="0022711A"/>
    <w:rsid w:val="00227278"/>
    <w:rsid w:val="0023052F"/>
    <w:rsid w:val="00230531"/>
    <w:rsid w:val="0023070A"/>
    <w:rsid w:val="00230A0E"/>
    <w:rsid w:val="00230B05"/>
    <w:rsid w:val="00230C9B"/>
    <w:rsid w:val="00231330"/>
    <w:rsid w:val="002319A1"/>
    <w:rsid w:val="002319B0"/>
    <w:rsid w:val="00231CA5"/>
    <w:rsid w:val="00232723"/>
    <w:rsid w:val="002327B3"/>
    <w:rsid w:val="0023372B"/>
    <w:rsid w:val="00233E58"/>
    <w:rsid w:val="002340FC"/>
    <w:rsid w:val="00234A3E"/>
    <w:rsid w:val="00235E2B"/>
    <w:rsid w:val="00236A20"/>
    <w:rsid w:val="00236F71"/>
    <w:rsid w:val="00237F72"/>
    <w:rsid w:val="002406E6"/>
    <w:rsid w:val="00241449"/>
    <w:rsid w:val="00242026"/>
    <w:rsid w:val="00242A8E"/>
    <w:rsid w:val="00242B0D"/>
    <w:rsid w:val="00242C03"/>
    <w:rsid w:val="002430B4"/>
    <w:rsid w:val="002436C2"/>
    <w:rsid w:val="002440A7"/>
    <w:rsid w:val="002441BF"/>
    <w:rsid w:val="00244822"/>
    <w:rsid w:val="00245601"/>
    <w:rsid w:val="00245984"/>
    <w:rsid w:val="00245F14"/>
    <w:rsid w:val="00246C8C"/>
    <w:rsid w:val="00246CBE"/>
    <w:rsid w:val="00246E17"/>
    <w:rsid w:val="00250291"/>
    <w:rsid w:val="002504AB"/>
    <w:rsid w:val="00250B91"/>
    <w:rsid w:val="0025112C"/>
    <w:rsid w:val="00251213"/>
    <w:rsid w:val="002515D2"/>
    <w:rsid w:val="00251D81"/>
    <w:rsid w:val="00251DAD"/>
    <w:rsid w:val="0025255D"/>
    <w:rsid w:val="00252620"/>
    <w:rsid w:val="002526D5"/>
    <w:rsid w:val="00252ACF"/>
    <w:rsid w:val="00252C3A"/>
    <w:rsid w:val="00253942"/>
    <w:rsid w:val="002551DC"/>
    <w:rsid w:val="00255946"/>
    <w:rsid w:val="002559C7"/>
    <w:rsid w:val="00255AA9"/>
    <w:rsid w:val="00255D94"/>
    <w:rsid w:val="00256A14"/>
    <w:rsid w:val="00256C3B"/>
    <w:rsid w:val="00257F8D"/>
    <w:rsid w:val="002605E7"/>
    <w:rsid w:val="00260781"/>
    <w:rsid w:val="002615D9"/>
    <w:rsid w:val="00261912"/>
    <w:rsid w:val="00261BC4"/>
    <w:rsid w:val="00261D60"/>
    <w:rsid w:val="00262324"/>
    <w:rsid w:val="00262459"/>
    <w:rsid w:val="00262FE4"/>
    <w:rsid w:val="0026343B"/>
    <w:rsid w:val="002639A6"/>
    <w:rsid w:val="0026717A"/>
    <w:rsid w:val="0026722D"/>
    <w:rsid w:val="002672E3"/>
    <w:rsid w:val="00267868"/>
    <w:rsid w:val="00267E5C"/>
    <w:rsid w:val="00271632"/>
    <w:rsid w:val="00271B31"/>
    <w:rsid w:val="002726D4"/>
    <w:rsid w:val="00273B27"/>
    <w:rsid w:val="00274115"/>
    <w:rsid w:val="00274792"/>
    <w:rsid w:val="00274BF4"/>
    <w:rsid w:val="00275812"/>
    <w:rsid w:val="00275DCE"/>
    <w:rsid w:val="00276511"/>
    <w:rsid w:val="00276D9B"/>
    <w:rsid w:val="002773EF"/>
    <w:rsid w:val="002775C0"/>
    <w:rsid w:val="002779B1"/>
    <w:rsid w:val="00280168"/>
    <w:rsid w:val="002801AA"/>
    <w:rsid w:val="002803AA"/>
    <w:rsid w:val="002803D4"/>
    <w:rsid w:val="002808E5"/>
    <w:rsid w:val="00283E2A"/>
    <w:rsid w:val="00284439"/>
    <w:rsid w:val="00284EF2"/>
    <w:rsid w:val="0028536B"/>
    <w:rsid w:val="0028594D"/>
    <w:rsid w:val="00285A6B"/>
    <w:rsid w:val="00286DD3"/>
    <w:rsid w:val="002874F4"/>
    <w:rsid w:val="00287ACB"/>
    <w:rsid w:val="00287BA1"/>
    <w:rsid w:val="00290346"/>
    <w:rsid w:val="002906F0"/>
    <w:rsid w:val="00290803"/>
    <w:rsid w:val="002908D3"/>
    <w:rsid w:val="00290907"/>
    <w:rsid w:val="00291087"/>
    <w:rsid w:val="0029191A"/>
    <w:rsid w:val="00291C1D"/>
    <w:rsid w:val="002921E3"/>
    <w:rsid w:val="0029235C"/>
    <w:rsid w:val="0029243D"/>
    <w:rsid w:val="002928B4"/>
    <w:rsid w:val="00293FBC"/>
    <w:rsid w:val="00294379"/>
    <w:rsid w:val="002943AB"/>
    <w:rsid w:val="00294824"/>
    <w:rsid w:val="00295848"/>
    <w:rsid w:val="002963B7"/>
    <w:rsid w:val="00297A67"/>
    <w:rsid w:val="00297C9E"/>
    <w:rsid w:val="00297CCC"/>
    <w:rsid w:val="002A0202"/>
    <w:rsid w:val="002A03A1"/>
    <w:rsid w:val="002A0448"/>
    <w:rsid w:val="002A084F"/>
    <w:rsid w:val="002A170E"/>
    <w:rsid w:val="002A1A42"/>
    <w:rsid w:val="002A22C1"/>
    <w:rsid w:val="002A22F6"/>
    <w:rsid w:val="002A2996"/>
    <w:rsid w:val="002A2D0A"/>
    <w:rsid w:val="002A309F"/>
    <w:rsid w:val="002A379E"/>
    <w:rsid w:val="002A3904"/>
    <w:rsid w:val="002A3F16"/>
    <w:rsid w:val="002A3F67"/>
    <w:rsid w:val="002A4A98"/>
    <w:rsid w:val="002A50A8"/>
    <w:rsid w:val="002A5226"/>
    <w:rsid w:val="002A5983"/>
    <w:rsid w:val="002A5BA6"/>
    <w:rsid w:val="002A5CF8"/>
    <w:rsid w:val="002A64C7"/>
    <w:rsid w:val="002A7E62"/>
    <w:rsid w:val="002B05D2"/>
    <w:rsid w:val="002B0A7E"/>
    <w:rsid w:val="002B0AC6"/>
    <w:rsid w:val="002B195C"/>
    <w:rsid w:val="002B19BD"/>
    <w:rsid w:val="002B2CBA"/>
    <w:rsid w:val="002B2CE2"/>
    <w:rsid w:val="002B2DF8"/>
    <w:rsid w:val="002B3B78"/>
    <w:rsid w:val="002B3F3F"/>
    <w:rsid w:val="002B4EBE"/>
    <w:rsid w:val="002B5BFA"/>
    <w:rsid w:val="002B5C96"/>
    <w:rsid w:val="002B708B"/>
    <w:rsid w:val="002B7B9D"/>
    <w:rsid w:val="002C0228"/>
    <w:rsid w:val="002C0E6A"/>
    <w:rsid w:val="002C1560"/>
    <w:rsid w:val="002C2221"/>
    <w:rsid w:val="002C2C6B"/>
    <w:rsid w:val="002C2D77"/>
    <w:rsid w:val="002C3096"/>
    <w:rsid w:val="002C35ED"/>
    <w:rsid w:val="002C41A7"/>
    <w:rsid w:val="002C5085"/>
    <w:rsid w:val="002C520F"/>
    <w:rsid w:val="002C535F"/>
    <w:rsid w:val="002C53C0"/>
    <w:rsid w:val="002C56A3"/>
    <w:rsid w:val="002C5844"/>
    <w:rsid w:val="002C5F93"/>
    <w:rsid w:val="002C610E"/>
    <w:rsid w:val="002C62CC"/>
    <w:rsid w:val="002C637F"/>
    <w:rsid w:val="002C6F80"/>
    <w:rsid w:val="002C7794"/>
    <w:rsid w:val="002C7B32"/>
    <w:rsid w:val="002D04B7"/>
    <w:rsid w:val="002D0AB1"/>
    <w:rsid w:val="002D130D"/>
    <w:rsid w:val="002D2664"/>
    <w:rsid w:val="002D28FA"/>
    <w:rsid w:val="002D2CB4"/>
    <w:rsid w:val="002D44E0"/>
    <w:rsid w:val="002D450F"/>
    <w:rsid w:val="002D4E1A"/>
    <w:rsid w:val="002D51EE"/>
    <w:rsid w:val="002D6618"/>
    <w:rsid w:val="002D6A80"/>
    <w:rsid w:val="002D6EE5"/>
    <w:rsid w:val="002D772C"/>
    <w:rsid w:val="002D7890"/>
    <w:rsid w:val="002E0CB9"/>
    <w:rsid w:val="002E2262"/>
    <w:rsid w:val="002E2812"/>
    <w:rsid w:val="002E39C6"/>
    <w:rsid w:val="002E3B90"/>
    <w:rsid w:val="002E47CF"/>
    <w:rsid w:val="002E5F25"/>
    <w:rsid w:val="002E6283"/>
    <w:rsid w:val="002E63DA"/>
    <w:rsid w:val="002E69BA"/>
    <w:rsid w:val="002E69FC"/>
    <w:rsid w:val="002E7456"/>
    <w:rsid w:val="002E74B2"/>
    <w:rsid w:val="002F0892"/>
    <w:rsid w:val="002F0C25"/>
    <w:rsid w:val="002F0E82"/>
    <w:rsid w:val="002F197C"/>
    <w:rsid w:val="002F2784"/>
    <w:rsid w:val="002F32A4"/>
    <w:rsid w:val="002F3B8C"/>
    <w:rsid w:val="002F3D2A"/>
    <w:rsid w:val="002F3E8E"/>
    <w:rsid w:val="002F4973"/>
    <w:rsid w:val="002F5198"/>
    <w:rsid w:val="002F5440"/>
    <w:rsid w:val="002F65D9"/>
    <w:rsid w:val="002F6A6F"/>
    <w:rsid w:val="002F6E18"/>
    <w:rsid w:val="002F764A"/>
    <w:rsid w:val="003002FA"/>
    <w:rsid w:val="0030069F"/>
    <w:rsid w:val="003006A8"/>
    <w:rsid w:val="0030114A"/>
    <w:rsid w:val="003011BC"/>
    <w:rsid w:val="003018D4"/>
    <w:rsid w:val="00301E80"/>
    <w:rsid w:val="00302852"/>
    <w:rsid w:val="00302CDB"/>
    <w:rsid w:val="00302E13"/>
    <w:rsid w:val="0030481C"/>
    <w:rsid w:val="0030499C"/>
    <w:rsid w:val="00305097"/>
    <w:rsid w:val="0030577D"/>
    <w:rsid w:val="0030665F"/>
    <w:rsid w:val="0031045F"/>
    <w:rsid w:val="0031103F"/>
    <w:rsid w:val="003112DC"/>
    <w:rsid w:val="00311352"/>
    <w:rsid w:val="00311DD2"/>
    <w:rsid w:val="00311DFE"/>
    <w:rsid w:val="00311F17"/>
    <w:rsid w:val="00312078"/>
    <w:rsid w:val="003121D8"/>
    <w:rsid w:val="0031235D"/>
    <w:rsid w:val="00312B90"/>
    <w:rsid w:val="00313307"/>
    <w:rsid w:val="0031373A"/>
    <w:rsid w:val="00313A88"/>
    <w:rsid w:val="00313CEE"/>
    <w:rsid w:val="00314673"/>
    <w:rsid w:val="003147B6"/>
    <w:rsid w:val="00314970"/>
    <w:rsid w:val="00314AC4"/>
    <w:rsid w:val="00314EC2"/>
    <w:rsid w:val="00315116"/>
    <w:rsid w:val="00315FDE"/>
    <w:rsid w:val="00316679"/>
    <w:rsid w:val="00316B5B"/>
    <w:rsid w:val="003202F1"/>
    <w:rsid w:val="003214C7"/>
    <w:rsid w:val="00321CAD"/>
    <w:rsid w:val="003226BC"/>
    <w:rsid w:val="00322F9B"/>
    <w:rsid w:val="0032368B"/>
    <w:rsid w:val="0032410A"/>
    <w:rsid w:val="0032443B"/>
    <w:rsid w:val="0032566A"/>
    <w:rsid w:val="0032592C"/>
    <w:rsid w:val="00326877"/>
    <w:rsid w:val="003278ED"/>
    <w:rsid w:val="0032794D"/>
    <w:rsid w:val="00327D33"/>
    <w:rsid w:val="00327EA4"/>
    <w:rsid w:val="00327FB7"/>
    <w:rsid w:val="003300EC"/>
    <w:rsid w:val="00330A6C"/>
    <w:rsid w:val="003326D6"/>
    <w:rsid w:val="0033292C"/>
    <w:rsid w:val="003329AB"/>
    <w:rsid w:val="003329B8"/>
    <w:rsid w:val="00332AF2"/>
    <w:rsid w:val="0033327D"/>
    <w:rsid w:val="00333C0D"/>
    <w:rsid w:val="00333EA9"/>
    <w:rsid w:val="003341D8"/>
    <w:rsid w:val="00334865"/>
    <w:rsid w:val="00334C54"/>
    <w:rsid w:val="00334C5C"/>
    <w:rsid w:val="003374CB"/>
    <w:rsid w:val="00337947"/>
    <w:rsid w:val="00337986"/>
    <w:rsid w:val="00337EDE"/>
    <w:rsid w:val="00340318"/>
    <w:rsid w:val="003404C9"/>
    <w:rsid w:val="003405E1"/>
    <w:rsid w:val="00340C11"/>
    <w:rsid w:val="00341749"/>
    <w:rsid w:val="00341A62"/>
    <w:rsid w:val="003422B5"/>
    <w:rsid w:val="003426E0"/>
    <w:rsid w:val="00342B09"/>
    <w:rsid w:val="00342F7F"/>
    <w:rsid w:val="00343B77"/>
    <w:rsid w:val="00343B97"/>
    <w:rsid w:val="0034450F"/>
    <w:rsid w:val="00344A7E"/>
    <w:rsid w:val="00344F8B"/>
    <w:rsid w:val="00345088"/>
    <w:rsid w:val="00345090"/>
    <w:rsid w:val="00345724"/>
    <w:rsid w:val="00345CBC"/>
    <w:rsid w:val="00346157"/>
    <w:rsid w:val="0034642E"/>
    <w:rsid w:val="0034682B"/>
    <w:rsid w:val="0034727D"/>
    <w:rsid w:val="003476E7"/>
    <w:rsid w:val="003501D4"/>
    <w:rsid w:val="00350615"/>
    <w:rsid w:val="00351101"/>
    <w:rsid w:val="00351530"/>
    <w:rsid w:val="00351C4F"/>
    <w:rsid w:val="0035202B"/>
    <w:rsid w:val="003525FB"/>
    <w:rsid w:val="00352D21"/>
    <w:rsid w:val="00352FD3"/>
    <w:rsid w:val="0035335F"/>
    <w:rsid w:val="00354430"/>
    <w:rsid w:val="003544A9"/>
    <w:rsid w:val="00354568"/>
    <w:rsid w:val="00354627"/>
    <w:rsid w:val="00354841"/>
    <w:rsid w:val="00354A6F"/>
    <w:rsid w:val="0035527E"/>
    <w:rsid w:val="00355389"/>
    <w:rsid w:val="003553C0"/>
    <w:rsid w:val="00357225"/>
    <w:rsid w:val="003572B0"/>
    <w:rsid w:val="0035741F"/>
    <w:rsid w:val="00357722"/>
    <w:rsid w:val="00357A55"/>
    <w:rsid w:val="003606EC"/>
    <w:rsid w:val="0036095D"/>
    <w:rsid w:val="00360CF5"/>
    <w:rsid w:val="00361182"/>
    <w:rsid w:val="003611D4"/>
    <w:rsid w:val="003617EB"/>
    <w:rsid w:val="00363BBB"/>
    <w:rsid w:val="00363D0D"/>
    <w:rsid w:val="00364D33"/>
    <w:rsid w:val="00365493"/>
    <w:rsid w:val="0036565C"/>
    <w:rsid w:val="00365804"/>
    <w:rsid w:val="003669EE"/>
    <w:rsid w:val="00367C11"/>
    <w:rsid w:val="00370B95"/>
    <w:rsid w:val="0037219B"/>
    <w:rsid w:val="00373DC4"/>
    <w:rsid w:val="0037487F"/>
    <w:rsid w:val="00374B30"/>
    <w:rsid w:val="00374E48"/>
    <w:rsid w:val="0037522F"/>
    <w:rsid w:val="0037610C"/>
    <w:rsid w:val="00376181"/>
    <w:rsid w:val="00376625"/>
    <w:rsid w:val="00376848"/>
    <w:rsid w:val="00376BE0"/>
    <w:rsid w:val="00377248"/>
    <w:rsid w:val="00381B2D"/>
    <w:rsid w:val="00381FB0"/>
    <w:rsid w:val="003825FC"/>
    <w:rsid w:val="00382753"/>
    <w:rsid w:val="003832A4"/>
    <w:rsid w:val="003833AA"/>
    <w:rsid w:val="00383687"/>
    <w:rsid w:val="0038384F"/>
    <w:rsid w:val="003844D4"/>
    <w:rsid w:val="0038461B"/>
    <w:rsid w:val="0038628E"/>
    <w:rsid w:val="003862B9"/>
    <w:rsid w:val="003865F3"/>
    <w:rsid w:val="0038703C"/>
    <w:rsid w:val="00387B57"/>
    <w:rsid w:val="00387DC8"/>
    <w:rsid w:val="00387DF7"/>
    <w:rsid w:val="00390137"/>
    <w:rsid w:val="003904C2"/>
    <w:rsid w:val="00391A97"/>
    <w:rsid w:val="00391F20"/>
    <w:rsid w:val="00392A80"/>
    <w:rsid w:val="00392CD4"/>
    <w:rsid w:val="00392F5D"/>
    <w:rsid w:val="00393694"/>
    <w:rsid w:val="00394952"/>
    <w:rsid w:val="00394D8A"/>
    <w:rsid w:val="00394ED6"/>
    <w:rsid w:val="00395024"/>
    <w:rsid w:val="003950FB"/>
    <w:rsid w:val="00395647"/>
    <w:rsid w:val="003957D5"/>
    <w:rsid w:val="00395B84"/>
    <w:rsid w:val="003961B2"/>
    <w:rsid w:val="003965F8"/>
    <w:rsid w:val="00396832"/>
    <w:rsid w:val="003968A9"/>
    <w:rsid w:val="00396E01"/>
    <w:rsid w:val="00397CFC"/>
    <w:rsid w:val="00397F0A"/>
    <w:rsid w:val="003A01CB"/>
    <w:rsid w:val="003A0581"/>
    <w:rsid w:val="003A0F6E"/>
    <w:rsid w:val="003A1654"/>
    <w:rsid w:val="003A1C85"/>
    <w:rsid w:val="003A201D"/>
    <w:rsid w:val="003A2612"/>
    <w:rsid w:val="003A2A59"/>
    <w:rsid w:val="003A2DBF"/>
    <w:rsid w:val="003A312D"/>
    <w:rsid w:val="003A42A2"/>
    <w:rsid w:val="003A4F4A"/>
    <w:rsid w:val="003A5241"/>
    <w:rsid w:val="003A61E4"/>
    <w:rsid w:val="003A68C5"/>
    <w:rsid w:val="003A762E"/>
    <w:rsid w:val="003A76AB"/>
    <w:rsid w:val="003B17BF"/>
    <w:rsid w:val="003B1B4C"/>
    <w:rsid w:val="003B278B"/>
    <w:rsid w:val="003B2D97"/>
    <w:rsid w:val="003B39E4"/>
    <w:rsid w:val="003B3E78"/>
    <w:rsid w:val="003B4479"/>
    <w:rsid w:val="003B493F"/>
    <w:rsid w:val="003B4A22"/>
    <w:rsid w:val="003B4A8F"/>
    <w:rsid w:val="003B4E6E"/>
    <w:rsid w:val="003B6519"/>
    <w:rsid w:val="003B654E"/>
    <w:rsid w:val="003B6751"/>
    <w:rsid w:val="003B73B7"/>
    <w:rsid w:val="003B75B2"/>
    <w:rsid w:val="003B7732"/>
    <w:rsid w:val="003B7BDB"/>
    <w:rsid w:val="003B7EEB"/>
    <w:rsid w:val="003C08B5"/>
    <w:rsid w:val="003C0BCE"/>
    <w:rsid w:val="003C1ED7"/>
    <w:rsid w:val="003C259E"/>
    <w:rsid w:val="003C357D"/>
    <w:rsid w:val="003C39C3"/>
    <w:rsid w:val="003C3D64"/>
    <w:rsid w:val="003C496E"/>
    <w:rsid w:val="003C4D5B"/>
    <w:rsid w:val="003C5054"/>
    <w:rsid w:val="003C527F"/>
    <w:rsid w:val="003C52E2"/>
    <w:rsid w:val="003C55FF"/>
    <w:rsid w:val="003C7361"/>
    <w:rsid w:val="003C7716"/>
    <w:rsid w:val="003C7754"/>
    <w:rsid w:val="003C785A"/>
    <w:rsid w:val="003C799F"/>
    <w:rsid w:val="003D052A"/>
    <w:rsid w:val="003D0BFC"/>
    <w:rsid w:val="003D2101"/>
    <w:rsid w:val="003D2352"/>
    <w:rsid w:val="003D2DAF"/>
    <w:rsid w:val="003D38BF"/>
    <w:rsid w:val="003D3C52"/>
    <w:rsid w:val="003D50FD"/>
    <w:rsid w:val="003D5341"/>
    <w:rsid w:val="003D5513"/>
    <w:rsid w:val="003D60B2"/>
    <w:rsid w:val="003D62B1"/>
    <w:rsid w:val="003D643E"/>
    <w:rsid w:val="003D6510"/>
    <w:rsid w:val="003D7040"/>
    <w:rsid w:val="003D7574"/>
    <w:rsid w:val="003E06BA"/>
    <w:rsid w:val="003E0A01"/>
    <w:rsid w:val="003E2639"/>
    <w:rsid w:val="003E29D8"/>
    <w:rsid w:val="003E5484"/>
    <w:rsid w:val="003E620A"/>
    <w:rsid w:val="003E6C9E"/>
    <w:rsid w:val="003E6D78"/>
    <w:rsid w:val="003E72E4"/>
    <w:rsid w:val="003E7CC8"/>
    <w:rsid w:val="003F0273"/>
    <w:rsid w:val="003F04C4"/>
    <w:rsid w:val="003F14F8"/>
    <w:rsid w:val="003F16B3"/>
    <w:rsid w:val="003F228F"/>
    <w:rsid w:val="003F43D0"/>
    <w:rsid w:val="003F4557"/>
    <w:rsid w:val="003F6485"/>
    <w:rsid w:val="003F67E4"/>
    <w:rsid w:val="003F6924"/>
    <w:rsid w:val="003F6977"/>
    <w:rsid w:val="003F7155"/>
    <w:rsid w:val="003F7E02"/>
    <w:rsid w:val="004013AF"/>
    <w:rsid w:val="00402279"/>
    <w:rsid w:val="00402360"/>
    <w:rsid w:val="00402B25"/>
    <w:rsid w:val="00402E0B"/>
    <w:rsid w:val="004033E3"/>
    <w:rsid w:val="00403E0A"/>
    <w:rsid w:val="00404543"/>
    <w:rsid w:val="004056AB"/>
    <w:rsid w:val="00405984"/>
    <w:rsid w:val="00405B38"/>
    <w:rsid w:val="0040608C"/>
    <w:rsid w:val="00406C15"/>
    <w:rsid w:val="00406D11"/>
    <w:rsid w:val="004103E3"/>
    <w:rsid w:val="0041056C"/>
    <w:rsid w:val="00410D99"/>
    <w:rsid w:val="00411639"/>
    <w:rsid w:val="00412114"/>
    <w:rsid w:val="004140D0"/>
    <w:rsid w:val="00414D9C"/>
    <w:rsid w:val="00415165"/>
    <w:rsid w:val="00415210"/>
    <w:rsid w:val="00416477"/>
    <w:rsid w:val="0041660C"/>
    <w:rsid w:val="00416768"/>
    <w:rsid w:val="004169F4"/>
    <w:rsid w:val="00417385"/>
    <w:rsid w:val="004176BA"/>
    <w:rsid w:val="00417890"/>
    <w:rsid w:val="004178EF"/>
    <w:rsid w:val="00417D66"/>
    <w:rsid w:val="00417F81"/>
    <w:rsid w:val="00420B36"/>
    <w:rsid w:val="00420B49"/>
    <w:rsid w:val="00420D8E"/>
    <w:rsid w:val="0042127A"/>
    <w:rsid w:val="0042181F"/>
    <w:rsid w:val="00421C4B"/>
    <w:rsid w:val="00422644"/>
    <w:rsid w:val="00422751"/>
    <w:rsid w:val="00423579"/>
    <w:rsid w:val="00423935"/>
    <w:rsid w:val="00423B73"/>
    <w:rsid w:val="00424148"/>
    <w:rsid w:val="004248A2"/>
    <w:rsid w:val="0042554A"/>
    <w:rsid w:val="004275DF"/>
    <w:rsid w:val="00427A78"/>
    <w:rsid w:val="00430247"/>
    <w:rsid w:val="00430887"/>
    <w:rsid w:val="004310D5"/>
    <w:rsid w:val="0043155F"/>
    <w:rsid w:val="00431597"/>
    <w:rsid w:val="0043285C"/>
    <w:rsid w:val="004337B2"/>
    <w:rsid w:val="004337DF"/>
    <w:rsid w:val="00433BE3"/>
    <w:rsid w:val="0043482D"/>
    <w:rsid w:val="00434CE1"/>
    <w:rsid w:val="004351DF"/>
    <w:rsid w:val="0043559C"/>
    <w:rsid w:val="00435903"/>
    <w:rsid w:val="00435F9A"/>
    <w:rsid w:val="004361D5"/>
    <w:rsid w:val="004375D1"/>
    <w:rsid w:val="00437F97"/>
    <w:rsid w:val="0044045D"/>
    <w:rsid w:val="00440684"/>
    <w:rsid w:val="00440992"/>
    <w:rsid w:val="00440AE9"/>
    <w:rsid w:val="004422FA"/>
    <w:rsid w:val="00443840"/>
    <w:rsid w:val="00443BB6"/>
    <w:rsid w:val="00443C0C"/>
    <w:rsid w:val="00444D03"/>
    <w:rsid w:val="0044590B"/>
    <w:rsid w:val="00446441"/>
    <w:rsid w:val="00447BE2"/>
    <w:rsid w:val="004508EF"/>
    <w:rsid w:val="00450A8D"/>
    <w:rsid w:val="00450DD4"/>
    <w:rsid w:val="00451A12"/>
    <w:rsid w:val="00451ED6"/>
    <w:rsid w:val="004526CE"/>
    <w:rsid w:val="00453318"/>
    <w:rsid w:val="0045356B"/>
    <w:rsid w:val="0045389F"/>
    <w:rsid w:val="004539C1"/>
    <w:rsid w:val="00453C5A"/>
    <w:rsid w:val="00453D70"/>
    <w:rsid w:val="0045450B"/>
    <w:rsid w:val="004545D3"/>
    <w:rsid w:val="00454A1B"/>
    <w:rsid w:val="00454A4A"/>
    <w:rsid w:val="00454D65"/>
    <w:rsid w:val="00454EF2"/>
    <w:rsid w:val="00454EF5"/>
    <w:rsid w:val="00454F0C"/>
    <w:rsid w:val="00455F42"/>
    <w:rsid w:val="00455FD5"/>
    <w:rsid w:val="0045642A"/>
    <w:rsid w:val="004569E6"/>
    <w:rsid w:val="00457392"/>
    <w:rsid w:val="00457B6C"/>
    <w:rsid w:val="00457BE1"/>
    <w:rsid w:val="00460CDD"/>
    <w:rsid w:val="00460D53"/>
    <w:rsid w:val="00460EED"/>
    <w:rsid w:val="00460FAF"/>
    <w:rsid w:val="00463219"/>
    <w:rsid w:val="004632B0"/>
    <w:rsid w:val="00463333"/>
    <w:rsid w:val="004634CA"/>
    <w:rsid w:val="00463B1B"/>
    <w:rsid w:val="00464F4D"/>
    <w:rsid w:val="00465180"/>
    <w:rsid w:val="004662AE"/>
    <w:rsid w:val="004666C6"/>
    <w:rsid w:val="004666FC"/>
    <w:rsid w:val="00467121"/>
    <w:rsid w:val="00467835"/>
    <w:rsid w:val="00470E77"/>
    <w:rsid w:val="00470F21"/>
    <w:rsid w:val="00471B46"/>
    <w:rsid w:val="00471CE2"/>
    <w:rsid w:val="00471D4E"/>
    <w:rsid w:val="00471E69"/>
    <w:rsid w:val="0047316C"/>
    <w:rsid w:val="00473782"/>
    <w:rsid w:val="004744CB"/>
    <w:rsid w:val="00474664"/>
    <w:rsid w:val="00474A72"/>
    <w:rsid w:val="00475258"/>
    <w:rsid w:val="0047594A"/>
    <w:rsid w:val="00475BCD"/>
    <w:rsid w:val="00476047"/>
    <w:rsid w:val="00476AB5"/>
    <w:rsid w:val="00477FBA"/>
    <w:rsid w:val="0048033F"/>
    <w:rsid w:val="00480B78"/>
    <w:rsid w:val="004811E6"/>
    <w:rsid w:val="004813F9"/>
    <w:rsid w:val="004823FE"/>
    <w:rsid w:val="00482ABD"/>
    <w:rsid w:val="00482BF9"/>
    <w:rsid w:val="00482F46"/>
    <w:rsid w:val="00483E3C"/>
    <w:rsid w:val="0048434E"/>
    <w:rsid w:val="00485548"/>
    <w:rsid w:val="004863B3"/>
    <w:rsid w:val="00486786"/>
    <w:rsid w:val="004867DD"/>
    <w:rsid w:val="00487467"/>
    <w:rsid w:val="0049014E"/>
    <w:rsid w:val="0049069C"/>
    <w:rsid w:val="00490D05"/>
    <w:rsid w:val="004916BB"/>
    <w:rsid w:val="0049170B"/>
    <w:rsid w:val="0049182C"/>
    <w:rsid w:val="00491958"/>
    <w:rsid w:val="004919E2"/>
    <w:rsid w:val="00492B0F"/>
    <w:rsid w:val="004937CD"/>
    <w:rsid w:val="00494463"/>
    <w:rsid w:val="00494758"/>
    <w:rsid w:val="0049503D"/>
    <w:rsid w:val="00495183"/>
    <w:rsid w:val="00495548"/>
    <w:rsid w:val="00495B5D"/>
    <w:rsid w:val="00495E85"/>
    <w:rsid w:val="00496013"/>
    <w:rsid w:val="00496591"/>
    <w:rsid w:val="00496E14"/>
    <w:rsid w:val="004A196B"/>
    <w:rsid w:val="004A1BD0"/>
    <w:rsid w:val="004A1F2A"/>
    <w:rsid w:val="004A23C9"/>
    <w:rsid w:val="004A2427"/>
    <w:rsid w:val="004A2C96"/>
    <w:rsid w:val="004A307C"/>
    <w:rsid w:val="004A3242"/>
    <w:rsid w:val="004A3E37"/>
    <w:rsid w:val="004A4158"/>
    <w:rsid w:val="004A438D"/>
    <w:rsid w:val="004A4C6B"/>
    <w:rsid w:val="004A4CFB"/>
    <w:rsid w:val="004A4DE7"/>
    <w:rsid w:val="004A5CE9"/>
    <w:rsid w:val="004A6135"/>
    <w:rsid w:val="004A64F1"/>
    <w:rsid w:val="004A658D"/>
    <w:rsid w:val="004A6B62"/>
    <w:rsid w:val="004A70A6"/>
    <w:rsid w:val="004A71A8"/>
    <w:rsid w:val="004A7C1F"/>
    <w:rsid w:val="004B0A19"/>
    <w:rsid w:val="004B0C10"/>
    <w:rsid w:val="004B1DE3"/>
    <w:rsid w:val="004B236A"/>
    <w:rsid w:val="004B2C61"/>
    <w:rsid w:val="004B2CC8"/>
    <w:rsid w:val="004B2CF8"/>
    <w:rsid w:val="004B2D72"/>
    <w:rsid w:val="004B3981"/>
    <w:rsid w:val="004B3E4F"/>
    <w:rsid w:val="004B5E5B"/>
    <w:rsid w:val="004B6EC9"/>
    <w:rsid w:val="004B6F33"/>
    <w:rsid w:val="004C01ED"/>
    <w:rsid w:val="004C0B94"/>
    <w:rsid w:val="004C1459"/>
    <w:rsid w:val="004C1B75"/>
    <w:rsid w:val="004C2506"/>
    <w:rsid w:val="004C2BCE"/>
    <w:rsid w:val="004C3CD8"/>
    <w:rsid w:val="004C5C67"/>
    <w:rsid w:val="004C5D5C"/>
    <w:rsid w:val="004C5DFF"/>
    <w:rsid w:val="004C5EA6"/>
    <w:rsid w:val="004C67B1"/>
    <w:rsid w:val="004C77D2"/>
    <w:rsid w:val="004C7D44"/>
    <w:rsid w:val="004D0DAF"/>
    <w:rsid w:val="004D12A6"/>
    <w:rsid w:val="004D172F"/>
    <w:rsid w:val="004D1CAF"/>
    <w:rsid w:val="004D2920"/>
    <w:rsid w:val="004D2B88"/>
    <w:rsid w:val="004D342A"/>
    <w:rsid w:val="004D352B"/>
    <w:rsid w:val="004D38C9"/>
    <w:rsid w:val="004D3BB3"/>
    <w:rsid w:val="004D5797"/>
    <w:rsid w:val="004D57CA"/>
    <w:rsid w:val="004D7545"/>
    <w:rsid w:val="004D7F8B"/>
    <w:rsid w:val="004D7FB0"/>
    <w:rsid w:val="004E0000"/>
    <w:rsid w:val="004E0969"/>
    <w:rsid w:val="004E0A92"/>
    <w:rsid w:val="004E14E7"/>
    <w:rsid w:val="004E2E1F"/>
    <w:rsid w:val="004E38CA"/>
    <w:rsid w:val="004E3CB5"/>
    <w:rsid w:val="004E5A30"/>
    <w:rsid w:val="004E622E"/>
    <w:rsid w:val="004E62AA"/>
    <w:rsid w:val="004E6820"/>
    <w:rsid w:val="004E6B60"/>
    <w:rsid w:val="004E6D3E"/>
    <w:rsid w:val="004E6FBB"/>
    <w:rsid w:val="004E6FE1"/>
    <w:rsid w:val="004E7E98"/>
    <w:rsid w:val="004F0BC8"/>
    <w:rsid w:val="004F0C91"/>
    <w:rsid w:val="004F127E"/>
    <w:rsid w:val="004F1314"/>
    <w:rsid w:val="004F14BD"/>
    <w:rsid w:val="004F1CB3"/>
    <w:rsid w:val="004F1E17"/>
    <w:rsid w:val="004F1F50"/>
    <w:rsid w:val="004F1FCA"/>
    <w:rsid w:val="004F3CE7"/>
    <w:rsid w:val="004F3DA9"/>
    <w:rsid w:val="004F4E98"/>
    <w:rsid w:val="004F5125"/>
    <w:rsid w:val="004F686C"/>
    <w:rsid w:val="004F6B68"/>
    <w:rsid w:val="004F71EE"/>
    <w:rsid w:val="004F7D4E"/>
    <w:rsid w:val="004F7EEC"/>
    <w:rsid w:val="00500A68"/>
    <w:rsid w:val="00501517"/>
    <w:rsid w:val="005026FC"/>
    <w:rsid w:val="0050386E"/>
    <w:rsid w:val="00503BA0"/>
    <w:rsid w:val="00503D06"/>
    <w:rsid w:val="00503ED7"/>
    <w:rsid w:val="00505486"/>
    <w:rsid w:val="0050562A"/>
    <w:rsid w:val="0050683E"/>
    <w:rsid w:val="00506AF5"/>
    <w:rsid w:val="005074FD"/>
    <w:rsid w:val="00507816"/>
    <w:rsid w:val="00507EF8"/>
    <w:rsid w:val="00510325"/>
    <w:rsid w:val="0051081F"/>
    <w:rsid w:val="00511879"/>
    <w:rsid w:val="00511E3E"/>
    <w:rsid w:val="00512A14"/>
    <w:rsid w:val="00512D2F"/>
    <w:rsid w:val="00512F60"/>
    <w:rsid w:val="00513B17"/>
    <w:rsid w:val="005141D4"/>
    <w:rsid w:val="00514772"/>
    <w:rsid w:val="005156AD"/>
    <w:rsid w:val="00516252"/>
    <w:rsid w:val="00516860"/>
    <w:rsid w:val="00517DBE"/>
    <w:rsid w:val="0052035C"/>
    <w:rsid w:val="0052168B"/>
    <w:rsid w:val="00522ABA"/>
    <w:rsid w:val="00523187"/>
    <w:rsid w:val="00523498"/>
    <w:rsid w:val="00524198"/>
    <w:rsid w:val="00524A76"/>
    <w:rsid w:val="00526515"/>
    <w:rsid w:val="00526568"/>
    <w:rsid w:val="00526C43"/>
    <w:rsid w:val="00526CBE"/>
    <w:rsid w:val="0052740C"/>
    <w:rsid w:val="00527F07"/>
    <w:rsid w:val="00530094"/>
    <w:rsid w:val="00531063"/>
    <w:rsid w:val="005313A1"/>
    <w:rsid w:val="00532609"/>
    <w:rsid w:val="00532718"/>
    <w:rsid w:val="00532B6B"/>
    <w:rsid w:val="00532E98"/>
    <w:rsid w:val="00533C97"/>
    <w:rsid w:val="0053422E"/>
    <w:rsid w:val="00534471"/>
    <w:rsid w:val="0053518B"/>
    <w:rsid w:val="005356F2"/>
    <w:rsid w:val="00535AF7"/>
    <w:rsid w:val="00535DA0"/>
    <w:rsid w:val="0053792A"/>
    <w:rsid w:val="00537943"/>
    <w:rsid w:val="0054012C"/>
    <w:rsid w:val="00540BAD"/>
    <w:rsid w:val="005412FA"/>
    <w:rsid w:val="00543349"/>
    <w:rsid w:val="00543397"/>
    <w:rsid w:val="0054367A"/>
    <w:rsid w:val="00543774"/>
    <w:rsid w:val="00545D88"/>
    <w:rsid w:val="00546852"/>
    <w:rsid w:val="00547145"/>
    <w:rsid w:val="0054748D"/>
    <w:rsid w:val="0054773D"/>
    <w:rsid w:val="005478FB"/>
    <w:rsid w:val="00547967"/>
    <w:rsid w:val="00547AA4"/>
    <w:rsid w:val="0055003E"/>
    <w:rsid w:val="0055042F"/>
    <w:rsid w:val="00551312"/>
    <w:rsid w:val="00551ACF"/>
    <w:rsid w:val="00552A68"/>
    <w:rsid w:val="00552FDA"/>
    <w:rsid w:val="00553762"/>
    <w:rsid w:val="00553A5D"/>
    <w:rsid w:val="00553F83"/>
    <w:rsid w:val="0055422A"/>
    <w:rsid w:val="005542EC"/>
    <w:rsid w:val="0055484E"/>
    <w:rsid w:val="005548D7"/>
    <w:rsid w:val="00554B0D"/>
    <w:rsid w:val="005563CA"/>
    <w:rsid w:val="00556984"/>
    <w:rsid w:val="00556F80"/>
    <w:rsid w:val="00557495"/>
    <w:rsid w:val="00557EBE"/>
    <w:rsid w:val="005611FF"/>
    <w:rsid w:val="0056177C"/>
    <w:rsid w:val="00564430"/>
    <w:rsid w:val="005650E3"/>
    <w:rsid w:val="0056549E"/>
    <w:rsid w:val="0056561E"/>
    <w:rsid w:val="00565F47"/>
    <w:rsid w:val="0056610E"/>
    <w:rsid w:val="005666B5"/>
    <w:rsid w:val="00566D87"/>
    <w:rsid w:val="005670F8"/>
    <w:rsid w:val="00567633"/>
    <w:rsid w:val="005676B6"/>
    <w:rsid w:val="005677E3"/>
    <w:rsid w:val="00570DD6"/>
    <w:rsid w:val="0057148F"/>
    <w:rsid w:val="005719E7"/>
    <w:rsid w:val="005723BD"/>
    <w:rsid w:val="00572D46"/>
    <w:rsid w:val="005734C3"/>
    <w:rsid w:val="005735D4"/>
    <w:rsid w:val="005739BC"/>
    <w:rsid w:val="00573ACC"/>
    <w:rsid w:val="00573E0A"/>
    <w:rsid w:val="00574639"/>
    <w:rsid w:val="00574F94"/>
    <w:rsid w:val="0057525B"/>
    <w:rsid w:val="005753A6"/>
    <w:rsid w:val="005754BA"/>
    <w:rsid w:val="00575912"/>
    <w:rsid w:val="00575A70"/>
    <w:rsid w:val="00575F83"/>
    <w:rsid w:val="00576060"/>
    <w:rsid w:val="0057624F"/>
    <w:rsid w:val="00576466"/>
    <w:rsid w:val="005764F7"/>
    <w:rsid w:val="005769EA"/>
    <w:rsid w:val="00576BA3"/>
    <w:rsid w:val="00577309"/>
    <w:rsid w:val="0057780A"/>
    <w:rsid w:val="00577B29"/>
    <w:rsid w:val="00577F71"/>
    <w:rsid w:val="005806ED"/>
    <w:rsid w:val="0058090E"/>
    <w:rsid w:val="005809C1"/>
    <w:rsid w:val="00580F37"/>
    <w:rsid w:val="00581F50"/>
    <w:rsid w:val="005826C6"/>
    <w:rsid w:val="0058359B"/>
    <w:rsid w:val="00583E56"/>
    <w:rsid w:val="005842F8"/>
    <w:rsid w:val="0058441F"/>
    <w:rsid w:val="0058492C"/>
    <w:rsid w:val="00584C8B"/>
    <w:rsid w:val="00585291"/>
    <w:rsid w:val="005853E5"/>
    <w:rsid w:val="00586713"/>
    <w:rsid w:val="005873BD"/>
    <w:rsid w:val="005874A7"/>
    <w:rsid w:val="00587943"/>
    <w:rsid w:val="00587FF3"/>
    <w:rsid w:val="00590B45"/>
    <w:rsid w:val="00590C7D"/>
    <w:rsid w:val="00591D23"/>
    <w:rsid w:val="005921A6"/>
    <w:rsid w:val="0059265C"/>
    <w:rsid w:val="00592E8A"/>
    <w:rsid w:val="0059303C"/>
    <w:rsid w:val="00593C8F"/>
    <w:rsid w:val="00594423"/>
    <w:rsid w:val="00594576"/>
    <w:rsid w:val="005947B9"/>
    <w:rsid w:val="00595929"/>
    <w:rsid w:val="00595BE9"/>
    <w:rsid w:val="00595F02"/>
    <w:rsid w:val="00595F84"/>
    <w:rsid w:val="00596566"/>
    <w:rsid w:val="00596B2B"/>
    <w:rsid w:val="00596DAA"/>
    <w:rsid w:val="00596EDE"/>
    <w:rsid w:val="00596EFB"/>
    <w:rsid w:val="005978F9"/>
    <w:rsid w:val="00597D24"/>
    <w:rsid w:val="005A0314"/>
    <w:rsid w:val="005A0A88"/>
    <w:rsid w:val="005A0C67"/>
    <w:rsid w:val="005A173B"/>
    <w:rsid w:val="005A20F1"/>
    <w:rsid w:val="005A23A4"/>
    <w:rsid w:val="005A2EBA"/>
    <w:rsid w:val="005A3355"/>
    <w:rsid w:val="005A35E5"/>
    <w:rsid w:val="005A3867"/>
    <w:rsid w:val="005A3F8B"/>
    <w:rsid w:val="005A4A20"/>
    <w:rsid w:val="005A4D23"/>
    <w:rsid w:val="005A4F1A"/>
    <w:rsid w:val="005A5383"/>
    <w:rsid w:val="005A5C0C"/>
    <w:rsid w:val="005A6871"/>
    <w:rsid w:val="005A702C"/>
    <w:rsid w:val="005A7317"/>
    <w:rsid w:val="005A78FD"/>
    <w:rsid w:val="005A7F98"/>
    <w:rsid w:val="005B026C"/>
    <w:rsid w:val="005B1AA3"/>
    <w:rsid w:val="005B2090"/>
    <w:rsid w:val="005B27BB"/>
    <w:rsid w:val="005B35A9"/>
    <w:rsid w:val="005B37A3"/>
    <w:rsid w:val="005B3B98"/>
    <w:rsid w:val="005B3E33"/>
    <w:rsid w:val="005B40AF"/>
    <w:rsid w:val="005B40B3"/>
    <w:rsid w:val="005B42F5"/>
    <w:rsid w:val="005B449A"/>
    <w:rsid w:val="005B5252"/>
    <w:rsid w:val="005B5965"/>
    <w:rsid w:val="005B5DE6"/>
    <w:rsid w:val="005B66F7"/>
    <w:rsid w:val="005C0317"/>
    <w:rsid w:val="005C0CBB"/>
    <w:rsid w:val="005C10DC"/>
    <w:rsid w:val="005C1AA8"/>
    <w:rsid w:val="005C1EF6"/>
    <w:rsid w:val="005C2B23"/>
    <w:rsid w:val="005C2F5B"/>
    <w:rsid w:val="005C35A7"/>
    <w:rsid w:val="005C370E"/>
    <w:rsid w:val="005C3B72"/>
    <w:rsid w:val="005C4BE5"/>
    <w:rsid w:val="005C4CDB"/>
    <w:rsid w:val="005C4FB2"/>
    <w:rsid w:val="005C54C2"/>
    <w:rsid w:val="005C634E"/>
    <w:rsid w:val="005C6B17"/>
    <w:rsid w:val="005D0426"/>
    <w:rsid w:val="005D0A91"/>
    <w:rsid w:val="005D0DE9"/>
    <w:rsid w:val="005D227F"/>
    <w:rsid w:val="005D2715"/>
    <w:rsid w:val="005D2DAF"/>
    <w:rsid w:val="005D4B1F"/>
    <w:rsid w:val="005D50CA"/>
    <w:rsid w:val="005D5486"/>
    <w:rsid w:val="005D5A56"/>
    <w:rsid w:val="005D5ACD"/>
    <w:rsid w:val="005D6324"/>
    <w:rsid w:val="005D6462"/>
    <w:rsid w:val="005D6589"/>
    <w:rsid w:val="005D6912"/>
    <w:rsid w:val="005D6EF3"/>
    <w:rsid w:val="005D7661"/>
    <w:rsid w:val="005D7E61"/>
    <w:rsid w:val="005E0F61"/>
    <w:rsid w:val="005E11B2"/>
    <w:rsid w:val="005E1DDF"/>
    <w:rsid w:val="005E2FB7"/>
    <w:rsid w:val="005E3CD0"/>
    <w:rsid w:val="005E52F8"/>
    <w:rsid w:val="005E54D6"/>
    <w:rsid w:val="005E5DE4"/>
    <w:rsid w:val="005E77E1"/>
    <w:rsid w:val="005F0792"/>
    <w:rsid w:val="005F08FF"/>
    <w:rsid w:val="005F2A08"/>
    <w:rsid w:val="005F3905"/>
    <w:rsid w:val="005F4461"/>
    <w:rsid w:val="005F4728"/>
    <w:rsid w:val="005F478E"/>
    <w:rsid w:val="005F4880"/>
    <w:rsid w:val="005F5D0A"/>
    <w:rsid w:val="005F7492"/>
    <w:rsid w:val="005F75AE"/>
    <w:rsid w:val="00601378"/>
    <w:rsid w:val="006014ED"/>
    <w:rsid w:val="00601610"/>
    <w:rsid w:val="0060175D"/>
    <w:rsid w:val="00602FAF"/>
    <w:rsid w:val="006038BF"/>
    <w:rsid w:val="00603C92"/>
    <w:rsid w:val="006048F1"/>
    <w:rsid w:val="006049E7"/>
    <w:rsid w:val="006058BD"/>
    <w:rsid w:val="00605994"/>
    <w:rsid w:val="00605EA2"/>
    <w:rsid w:val="0060601C"/>
    <w:rsid w:val="00606294"/>
    <w:rsid w:val="006071A9"/>
    <w:rsid w:val="00607FB3"/>
    <w:rsid w:val="006113AA"/>
    <w:rsid w:val="00611CA9"/>
    <w:rsid w:val="00611E0F"/>
    <w:rsid w:val="00612904"/>
    <w:rsid w:val="00613231"/>
    <w:rsid w:val="0061325D"/>
    <w:rsid w:val="00615040"/>
    <w:rsid w:val="006160BE"/>
    <w:rsid w:val="006170C8"/>
    <w:rsid w:val="00620390"/>
    <w:rsid w:val="00620444"/>
    <w:rsid w:val="00622552"/>
    <w:rsid w:val="006241D2"/>
    <w:rsid w:val="00624708"/>
    <w:rsid w:val="00625CC3"/>
    <w:rsid w:val="006279FA"/>
    <w:rsid w:val="006300C9"/>
    <w:rsid w:val="00630502"/>
    <w:rsid w:val="00630FA3"/>
    <w:rsid w:val="00631158"/>
    <w:rsid w:val="00631D1F"/>
    <w:rsid w:val="00632057"/>
    <w:rsid w:val="0063336A"/>
    <w:rsid w:val="0063347C"/>
    <w:rsid w:val="00633981"/>
    <w:rsid w:val="00633A4B"/>
    <w:rsid w:val="006343CC"/>
    <w:rsid w:val="00634687"/>
    <w:rsid w:val="00634D89"/>
    <w:rsid w:val="00635070"/>
    <w:rsid w:val="00636286"/>
    <w:rsid w:val="00640B12"/>
    <w:rsid w:val="00640E36"/>
    <w:rsid w:val="0064102D"/>
    <w:rsid w:val="0064233A"/>
    <w:rsid w:val="00642BFC"/>
    <w:rsid w:val="00642F9E"/>
    <w:rsid w:val="006435D2"/>
    <w:rsid w:val="00643D52"/>
    <w:rsid w:val="006444EF"/>
    <w:rsid w:val="006446FE"/>
    <w:rsid w:val="006451A1"/>
    <w:rsid w:val="00646015"/>
    <w:rsid w:val="00646794"/>
    <w:rsid w:val="00647F3E"/>
    <w:rsid w:val="00650233"/>
    <w:rsid w:val="006502F0"/>
    <w:rsid w:val="00652C28"/>
    <w:rsid w:val="00653093"/>
    <w:rsid w:val="006530CB"/>
    <w:rsid w:val="00653998"/>
    <w:rsid w:val="00653B5E"/>
    <w:rsid w:val="00653CDA"/>
    <w:rsid w:val="00654220"/>
    <w:rsid w:val="006545A8"/>
    <w:rsid w:val="00655112"/>
    <w:rsid w:val="0065579B"/>
    <w:rsid w:val="006559AC"/>
    <w:rsid w:val="006561E8"/>
    <w:rsid w:val="00656BCC"/>
    <w:rsid w:val="00656EC7"/>
    <w:rsid w:val="00657243"/>
    <w:rsid w:val="00657718"/>
    <w:rsid w:val="0065781E"/>
    <w:rsid w:val="00657B33"/>
    <w:rsid w:val="00657D3F"/>
    <w:rsid w:val="00660169"/>
    <w:rsid w:val="006615F6"/>
    <w:rsid w:val="0066189F"/>
    <w:rsid w:val="00661FF8"/>
    <w:rsid w:val="00662CB0"/>
    <w:rsid w:val="0066419C"/>
    <w:rsid w:val="00664573"/>
    <w:rsid w:val="00664A19"/>
    <w:rsid w:val="00664E43"/>
    <w:rsid w:val="006666D4"/>
    <w:rsid w:val="00666F59"/>
    <w:rsid w:val="0066788A"/>
    <w:rsid w:val="00667D43"/>
    <w:rsid w:val="006703B3"/>
    <w:rsid w:val="006718B7"/>
    <w:rsid w:val="00672653"/>
    <w:rsid w:val="00672D5E"/>
    <w:rsid w:val="0067337F"/>
    <w:rsid w:val="006735D7"/>
    <w:rsid w:val="00673FCB"/>
    <w:rsid w:val="00674073"/>
    <w:rsid w:val="00674DE4"/>
    <w:rsid w:val="006752C9"/>
    <w:rsid w:val="00675AEA"/>
    <w:rsid w:val="00675D57"/>
    <w:rsid w:val="00676C47"/>
    <w:rsid w:val="00676D31"/>
    <w:rsid w:val="006775F5"/>
    <w:rsid w:val="00677BDD"/>
    <w:rsid w:val="0068093E"/>
    <w:rsid w:val="00681157"/>
    <w:rsid w:val="00681698"/>
    <w:rsid w:val="00682373"/>
    <w:rsid w:val="00682DE5"/>
    <w:rsid w:val="006839C7"/>
    <w:rsid w:val="00683B3C"/>
    <w:rsid w:val="006853F4"/>
    <w:rsid w:val="00685A86"/>
    <w:rsid w:val="0068647C"/>
    <w:rsid w:val="00686B3F"/>
    <w:rsid w:val="00690024"/>
    <w:rsid w:val="00690ADA"/>
    <w:rsid w:val="0069149F"/>
    <w:rsid w:val="00691C67"/>
    <w:rsid w:val="00692ACB"/>
    <w:rsid w:val="00692E82"/>
    <w:rsid w:val="0069326A"/>
    <w:rsid w:val="006939E1"/>
    <w:rsid w:val="00693ACA"/>
    <w:rsid w:val="00694064"/>
    <w:rsid w:val="00694862"/>
    <w:rsid w:val="0069491A"/>
    <w:rsid w:val="006953CC"/>
    <w:rsid w:val="006955CD"/>
    <w:rsid w:val="00695FB4"/>
    <w:rsid w:val="006960B5"/>
    <w:rsid w:val="00697B4C"/>
    <w:rsid w:val="00697D09"/>
    <w:rsid w:val="006A0330"/>
    <w:rsid w:val="006A0D5C"/>
    <w:rsid w:val="006A1041"/>
    <w:rsid w:val="006A131D"/>
    <w:rsid w:val="006A1D79"/>
    <w:rsid w:val="006A234D"/>
    <w:rsid w:val="006A266F"/>
    <w:rsid w:val="006A2BCD"/>
    <w:rsid w:val="006A2C2C"/>
    <w:rsid w:val="006A3E65"/>
    <w:rsid w:val="006A3F08"/>
    <w:rsid w:val="006A4051"/>
    <w:rsid w:val="006A493C"/>
    <w:rsid w:val="006A6B0E"/>
    <w:rsid w:val="006A70B1"/>
    <w:rsid w:val="006A7632"/>
    <w:rsid w:val="006A79AD"/>
    <w:rsid w:val="006A7D92"/>
    <w:rsid w:val="006B02DD"/>
    <w:rsid w:val="006B0477"/>
    <w:rsid w:val="006B0AE4"/>
    <w:rsid w:val="006B1721"/>
    <w:rsid w:val="006B2326"/>
    <w:rsid w:val="006B2DDF"/>
    <w:rsid w:val="006B2EF8"/>
    <w:rsid w:val="006B3FD8"/>
    <w:rsid w:val="006B4306"/>
    <w:rsid w:val="006B4AA0"/>
    <w:rsid w:val="006B4AFC"/>
    <w:rsid w:val="006B4F81"/>
    <w:rsid w:val="006B5840"/>
    <w:rsid w:val="006B5ACC"/>
    <w:rsid w:val="006B5B47"/>
    <w:rsid w:val="006B5C8F"/>
    <w:rsid w:val="006B71D8"/>
    <w:rsid w:val="006B758E"/>
    <w:rsid w:val="006B76BF"/>
    <w:rsid w:val="006C036F"/>
    <w:rsid w:val="006C07AB"/>
    <w:rsid w:val="006C0CFF"/>
    <w:rsid w:val="006C2227"/>
    <w:rsid w:val="006C2CC5"/>
    <w:rsid w:val="006C3A78"/>
    <w:rsid w:val="006C41A0"/>
    <w:rsid w:val="006C5EEE"/>
    <w:rsid w:val="006C5F21"/>
    <w:rsid w:val="006C60A7"/>
    <w:rsid w:val="006C6349"/>
    <w:rsid w:val="006C639C"/>
    <w:rsid w:val="006C65CD"/>
    <w:rsid w:val="006C6813"/>
    <w:rsid w:val="006C6A8D"/>
    <w:rsid w:val="006D0BB8"/>
    <w:rsid w:val="006D109A"/>
    <w:rsid w:val="006D17CC"/>
    <w:rsid w:val="006D2933"/>
    <w:rsid w:val="006D2B69"/>
    <w:rsid w:val="006D2B80"/>
    <w:rsid w:val="006D4358"/>
    <w:rsid w:val="006D4B7F"/>
    <w:rsid w:val="006D4FFA"/>
    <w:rsid w:val="006D506A"/>
    <w:rsid w:val="006D54C6"/>
    <w:rsid w:val="006D559A"/>
    <w:rsid w:val="006D5AC5"/>
    <w:rsid w:val="006D60CF"/>
    <w:rsid w:val="006D678F"/>
    <w:rsid w:val="006D791D"/>
    <w:rsid w:val="006D7CA4"/>
    <w:rsid w:val="006D7DAF"/>
    <w:rsid w:val="006E0116"/>
    <w:rsid w:val="006E022F"/>
    <w:rsid w:val="006E061B"/>
    <w:rsid w:val="006E0776"/>
    <w:rsid w:val="006E3FBB"/>
    <w:rsid w:val="006E4D9D"/>
    <w:rsid w:val="006E5432"/>
    <w:rsid w:val="006E5838"/>
    <w:rsid w:val="006E753C"/>
    <w:rsid w:val="006E7702"/>
    <w:rsid w:val="006F08CE"/>
    <w:rsid w:val="006F0CC7"/>
    <w:rsid w:val="006F1680"/>
    <w:rsid w:val="006F1B37"/>
    <w:rsid w:val="006F1B42"/>
    <w:rsid w:val="006F1BBF"/>
    <w:rsid w:val="006F23BB"/>
    <w:rsid w:val="006F30F6"/>
    <w:rsid w:val="006F310B"/>
    <w:rsid w:val="006F3542"/>
    <w:rsid w:val="006F3C24"/>
    <w:rsid w:val="006F3C81"/>
    <w:rsid w:val="006F3E15"/>
    <w:rsid w:val="006F46B2"/>
    <w:rsid w:val="006F4C17"/>
    <w:rsid w:val="006F502F"/>
    <w:rsid w:val="006F59BD"/>
    <w:rsid w:val="006F6947"/>
    <w:rsid w:val="006F6AED"/>
    <w:rsid w:val="006F6CB7"/>
    <w:rsid w:val="007014C4"/>
    <w:rsid w:val="00701B00"/>
    <w:rsid w:val="00702127"/>
    <w:rsid w:val="00703317"/>
    <w:rsid w:val="00703F65"/>
    <w:rsid w:val="00703FD6"/>
    <w:rsid w:val="00704048"/>
    <w:rsid w:val="0070414B"/>
    <w:rsid w:val="007042AF"/>
    <w:rsid w:val="00704D3E"/>
    <w:rsid w:val="00704D4D"/>
    <w:rsid w:val="007059C5"/>
    <w:rsid w:val="0070671E"/>
    <w:rsid w:val="00706A81"/>
    <w:rsid w:val="00706C6A"/>
    <w:rsid w:val="007072A2"/>
    <w:rsid w:val="007079B4"/>
    <w:rsid w:val="00707B6B"/>
    <w:rsid w:val="00707EE5"/>
    <w:rsid w:val="007105DF"/>
    <w:rsid w:val="0071076D"/>
    <w:rsid w:val="007109DA"/>
    <w:rsid w:val="00711323"/>
    <w:rsid w:val="007119E9"/>
    <w:rsid w:val="00711E83"/>
    <w:rsid w:val="00712756"/>
    <w:rsid w:val="00712EBA"/>
    <w:rsid w:val="00713137"/>
    <w:rsid w:val="007132BC"/>
    <w:rsid w:val="0071452F"/>
    <w:rsid w:val="00714663"/>
    <w:rsid w:val="00714901"/>
    <w:rsid w:val="00715982"/>
    <w:rsid w:val="00715DBC"/>
    <w:rsid w:val="0071611C"/>
    <w:rsid w:val="007162F5"/>
    <w:rsid w:val="00716567"/>
    <w:rsid w:val="007166FE"/>
    <w:rsid w:val="00717399"/>
    <w:rsid w:val="007176F2"/>
    <w:rsid w:val="007215D0"/>
    <w:rsid w:val="00722701"/>
    <w:rsid w:val="00722856"/>
    <w:rsid w:val="00722BD1"/>
    <w:rsid w:val="007231C1"/>
    <w:rsid w:val="00723B61"/>
    <w:rsid w:val="00723DDD"/>
    <w:rsid w:val="00724678"/>
    <w:rsid w:val="00724753"/>
    <w:rsid w:val="00725879"/>
    <w:rsid w:val="00726129"/>
    <w:rsid w:val="00726139"/>
    <w:rsid w:val="00726239"/>
    <w:rsid w:val="00726E86"/>
    <w:rsid w:val="007278E8"/>
    <w:rsid w:val="00727CEF"/>
    <w:rsid w:val="00727EE9"/>
    <w:rsid w:val="0073003E"/>
    <w:rsid w:val="00731176"/>
    <w:rsid w:val="007319D4"/>
    <w:rsid w:val="00731DFF"/>
    <w:rsid w:val="007327EF"/>
    <w:rsid w:val="00732C57"/>
    <w:rsid w:val="00732D3F"/>
    <w:rsid w:val="00733795"/>
    <w:rsid w:val="00733DED"/>
    <w:rsid w:val="0073470E"/>
    <w:rsid w:val="00734C97"/>
    <w:rsid w:val="00734D61"/>
    <w:rsid w:val="00736018"/>
    <w:rsid w:val="00736096"/>
    <w:rsid w:val="0073620F"/>
    <w:rsid w:val="00736967"/>
    <w:rsid w:val="00737613"/>
    <w:rsid w:val="00737A28"/>
    <w:rsid w:val="00737B4B"/>
    <w:rsid w:val="00737C38"/>
    <w:rsid w:val="00740B1D"/>
    <w:rsid w:val="007425DB"/>
    <w:rsid w:val="007435AD"/>
    <w:rsid w:val="00743CB2"/>
    <w:rsid w:val="007444A2"/>
    <w:rsid w:val="0074453F"/>
    <w:rsid w:val="0074494B"/>
    <w:rsid w:val="00744E2D"/>
    <w:rsid w:val="00745FCA"/>
    <w:rsid w:val="00746582"/>
    <w:rsid w:val="00750478"/>
    <w:rsid w:val="00750953"/>
    <w:rsid w:val="00750A12"/>
    <w:rsid w:val="00750C04"/>
    <w:rsid w:val="007514C6"/>
    <w:rsid w:val="00751635"/>
    <w:rsid w:val="00751AC1"/>
    <w:rsid w:val="00751C26"/>
    <w:rsid w:val="00752317"/>
    <w:rsid w:val="007526FC"/>
    <w:rsid w:val="00752D12"/>
    <w:rsid w:val="00753BAD"/>
    <w:rsid w:val="0075405A"/>
    <w:rsid w:val="00754D7A"/>
    <w:rsid w:val="007566FB"/>
    <w:rsid w:val="00756A70"/>
    <w:rsid w:val="00756B51"/>
    <w:rsid w:val="00756CDF"/>
    <w:rsid w:val="0075743E"/>
    <w:rsid w:val="00757994"/>
    <w:rsid w:val="00757D19"/>
    <w:rsid w:val="00757E50"/>
    <w:rsid w:val="00760178"/>
    <w:rsid w:val="00760211"/>
    <w:rsid w:val="0076093D"/>
    <w:rsid w:val="0076101A"/>
    <w:rsid w:val="007620B9"/>
    <w:rsid w:val="00762E43"/>
    <w:rsid w:val="00763BCA"/>
    <w:rsid w:val="00763FD5"/>
    <w:rsid w:val="007646C1"/>
    <w:rsid w:val="00764AA0"/>
    <w:rsid w:val="007653FE"/>
    <w:rsid w:val="00766A73"/>
    <w:rsid w:val="00766B56"/>
    <w:rsid w:val="00766BF9"/>
    <w:rsid w:val="00767951"/>
    <w:rsid w:val="0076796F"/>
    <w:rsid w:val="007679B8"/>
    <w:rsid w:val="00767BD9"/>
    <w:rsid w:val="007703DC"/>
    <w:rsid w:val="00770873"/>
    <w:rsid w:val="00770C7E"/>
    <w:rsid w:val="007710D6"/>
    <w:rsid w:val="00771BEF"/>
    <w:rsid w:val="007727EB"/>
    <w:rsid w:val="00772B65"/>
    <w:rsid w:val="00772CAD"/>
    <w:rsid w:val="00772FB1"/>
    <w:rsid w:val="007730D0"/>
    <w:rsid w:val="00773930"/>
    <w:rsid w:val="00774AFA"/>
    <w:rsid w:val="00774E08"/>
    <w:rsid w:val="0077590C"/>
    <w:rsid w:val="00775C04"/>
    <w:rsid w:val="00776615"/>
    <w:rsid w:val="00777A11"/>
    <w:rsid w:val="0078076D"/>
    <w:rsid w:val="007807A6"/>
    <w:rsid w:val="00780EE3"/>
    <w:rsid w:val="0078150E"/>
    <w:rsid w:val="007821FE"/>
    <w:rsid w:val="00782230"/>
    <w:rsid w:val="00782D55"/>
    <w:rsid w:val="0078406E"/>
    <w:rsid w:val="00785B11"/>
    <w:rsid w:val="00786277"/>
    <w:rsid w:val="007867C8"/>
    <w:rsid w:val="0078756F"/>
    <w:rsid w:val="00787887"/>
    <w:rsid w:val="00787A75"/>
    <w:rsid w:val="00787ABB"/>
    <w:rsid w:val="00790400"/>
    <w:rsid w:val="00790C7F"/>
    <w:rsid w:val="007920F9"/>
    <w:rsid w:val="007924CB"/>
    <w:rsid w:val="00792C7B"/>
    <w:rsid w:val="00793758"/>
    <w:rsid w:val="00794497"/>
    <w:rsid w:val="00794AFF"/>
    <w:rsid w:val="00795747"/>
    <w:rsid w:val="00795A43"/>
    <w:rsid w:val="00795FA6"/>
    <w:rsid w:val="00795FF1"/>
    <w:rsid w:val="00796912"/>
    <w:rsid w:val="00796C13"/>
    <w:rsid w:val="007A03C4"/>
    <w:rsid w:val="007A0FE0"/>
    <w:rsid w:val="007A19A5"/>
    <w:rsid w:val="007A229A"/>
    <w:rsid w:val="007A3551"/>
    <w:rsid w:val="007A440D"/>
    <w:rsid w:val="007A45AC"/>
    <w:rsid w:val="007A5209"/>
    <w:rsid w:val="007A53C4"/>
    <w:rsid w:val="007A5CB3"/>
    <w:rsid w:val="007A5DC3"/>
    <w:rsid w:val="007A62BD"/>
    <w:rsid w:val="007A66DE"/>
    <w:rsid w:val="007A785E"/>
    <w:rsid w:val="007A7F83"/>
    <w:rsid w:val="007B0480"/>
    <w:rsid w:val="007B050B"/>
    <w:rsid w:val="007B0681"/>
    <w:rsid w:val="007B23F4"/>
    <w:rsid w:val="007B383E"/>
    <w:rsid w:val="007B4539"/>
    <w:rsid w:val="007B4BB0"/>
    <w:rsid w:val="007B555E"/>
    <w:rsid w:val="007B64A9"/>
    <w:rsid w:val="007B7035"/>
    <w:rsid w:val="007B71C3"/>
    <w:rsid w:val="007B76CC"/>
    <w:rsid w:val="007C036B"/>
    <w:rsid w:val="007C037D"/>
    <w:rsid w:val="007C090E"/>
    <w:rsid w:val="007C0B1F"/>
    <w:rsid w:val="007C0C49"/>
    <w:rsid w:val="007C0D73"/>
    <w:rsid w:val="007C1197"/>
    <w:rsid w:val="007C389E"/>
    <w:rsid w:val="007C3B55"/>
    <w:rsid w:val="007C4AF7"/>
    <w:rsid w:val="007C4B0E"/>
    <w:rsid w:val="007C55B8"/>
    <w:rsid w:val="007C70FE"/>
    <w:rsid w:val="007C73F5"/>
    <w:rsid w:val="007C7F38"/>
    <w:rsid w:val="007D0847"/>
    <w:rsid w:val="007D0D7D"/>
    <w:rsid w:val="007D1BD7"/>
    <w:rsid w:val="007D1CAD"/>
    <w:rsid w:val="007D1F57"/>
    <w:rsid w:val="007D2AFF"/>
    <w:rsid w:val="007D318D"/>
    <w:rsid w:val="007D320F"/>
    <w:rsid w:val="007D372B"/>
    <w:rsid w:val="007D3A0D"/>
    <w:rsid w:val="007D3D2F"/>
    <w:rsid w:val="007D44D5"/>
    <w:rsid w:val="007D762D"/>
    <w:rsid w:val="007D76CE"/>
    <w:rsid w:val="007D77E7"/>
    <w:rsid w:val="007E019D"/>
    <w:rsid w:val="007E1F36"/>
    <w:rsid w:val="007E20EB"/>
    <w:rsid w:val="007E264C"/>
    <w:rsid w:val="007E2694"/>
    <w:rsid w:val="007E2CA7"/>
    <w:rsid w:val="007E2D4D"/>
    <w:rsid w:val="007E362A"/>
    <w:rsid w:val="007E3751"/>
    <w:rsid w:val="007E4556"/>
    <w:rsid w:val="007E49B9"/>
    <w:rsid w:val="007E4B8D"/>
    <w:rsid w:val="007E561B"/>
    <w:rsid w:val="007E5D41"/>
    <w:rsid w:val="007E5E28"/>
    <w:rsid w:val="007E6238"/>
    <w:rsid w:val="007E65ED"/>
    <w:rsid w:val="007E6A97"/>
    <w:rsid w:val="007E6CB8"/>
    <w:rsid w:val="007E6CDD"/>
    <w:rsid w:val="007E6F04"/>
    <w:rsid w:val="007F051D"/>
    <w:rsid w:val="007F061D"/>
    <w:rsid w:val="007F065E"/>
    <w:rsid w:val="007F0912"/>
    <w:rsid w:val="007F14D9"/>
    <w:rsid w:val="007F28CB"/>
    <w:rsid w:val="007F31B5"/>
    <w:rsid w:val="007F3425"/>
    <w:rsid w:val="007F40FF"/>
    <w:rsid w:val="007F4E22"/>
    <w:rsid w:val="007F56F6"/>
    <w:rsid w:val="007F5AE2"/>
    <w:rsid w:val="007F5CC2"/>
    <w:rsid w:val="007F621F"/>
    <w:rsid w:val="007F6421"/>
    <w:rsid w:val="007F77C1"/>
    <w:rsid w:val="007F7FC3"/>
    <w:rsid w:val="007F7FD7"/>
    <w:rsid w:val="008008F8"/>
    <w:rsid w:val="008012D3"/>
    <w:rsid w:val="0080165F"/>
    <w:rsid w:val="008023AA"/>
    <w:rsid w:val="0080269D"/>
    <w:rsid w:val="008032E0"/>
    <w:rsid w:val="00803340"/>
    <w:rsid w:val="008042F1"/>
    <w:rsid w:val="00805197"/>
    <w:rsid w:val="00805F0F"/>
    <w:rsid w:val="0080697C"/>
    <w:rsid w:val="00806BDB"/>
    <w:rsid w:val="00807123"/>
    <w:rsid w:val="0080762D"/>
    <w:rsid w:val="0080768A"/>
    <w:rsid w:val="00807931"/>
    <w:rsid w:val="0081110D"/>
    <w:rsid w:val="00813436"/>
    <w:rsid w:val="00813860"/>
    <w:rsid w:val="008138B3"/>
    <w:rsid w:val="00813D0E"/>
    <w:rsid w:val="00814D0B"/>
    <w:rsid w:val="00815480"/>
    <w:rsid w:val="008154E7"/>
    <w:rsid w:val="0081576A"/>
    <w:rsid w:val="00816144"/>
    <w:rsid w:val="008161C1"/>
    <w:rsid w:val="008161ED"/>
    <w:rsid w:val="008168DB"/>
    <w:rsid w:val="00817285"/>
    <w:rsid w:val="0081733D"/>
    <w:rsid w:val="00817515"/>
    <w:rsid w:val="0081777B"/>
    <w:rsid w:val="00820363"/>
    <w:rsid w:val="008213CD"/>
    <w:rsid w:val="00821956"/>
    <w:rsid w:val="008219C8"/>
    <w:rsid w:val="008228ED"/>
    <w:rsid w:val="00822A9F"/>
    <w:rsid w:val="008234D8"/>
    <w:rsid w:val="008251D1"/>
    <w:rsid w:val="008253AC"/>
    <w:rsid w:val="00827284"/>
    <w:rsid w:val="008277C2"/>
    <w:rsid w:val="00827DB9"/>
    <w:rsid w:val="0083034F"/>
    <w:rsid w:val="00830C49"/>
    <w:rsid w:val="00830DB6"/>
    <w:rsid w:val="00831A41"/>
    <w:rsid w:val="00831AFF"/>
    <w:rsid w:val="00832920"/>
    <w:rsid w:val="008336CB"/>
    <w:rsid w:val="00833CBB"/>
    <w:rsid w:val="008346B2"/>
    <w:rsid w:val="00835314"/>
    <w:rsid w:val="00835A51"/>
    <w:rsid w:val="00835C2A"/>
    <w:rsid w:val="00836DA8"/>
    <w:rsid w:val="008374BD"/>
    <w:rsid w:val="00837AEC"/>
    <w:rsid w:val="00837EAB"/>
    <w:rsid w:val="0084042A"/>
    <w:rsid w:val="00841186"/>
    <w:rsid w:val="008414EB"/>
    <w:rsid w:val="00843272"/>
    <w:rsid w:val="008437ED"/>
    <w:rsid w:val="00843A5C"/>
    <w:rsid w:val="00843AA8"/>
    <w:rsid w:val="00845022"/>
    <w:rsid w:val="00846C0D"/>
    <w:rsid w:val="008516A8"/>
    <w:rsid w:val="008517D7"/>
    <w:rsid w:val="008523BE"/>
    <w:rsid w:val="008526FD"/>
    <w:rsid w:val="00852C4C"/>
    <w:rsid w:val="00856766"/>
    <w:rsid w:val="0085698C"/>
    <w:rsid w:val="0085699A"/>
    <w:rsid w:val="0085769D"/>
    <w:rsid w:val="00857926"/>
    <w:rsid w:val="00857E07"/>
    <w:rsid w:val="00857EB5"/>
    <w:rsid w:val="0086023E"/>
    <w:rsid w:val="008602E3"/>
    <w:rsid w:val="00860730"/>
    <w:rsid w:val="008616E9"/>
    <w:rsid w:val="00861756"/>
    <w:rsid w:val="00862058"/>
    <w:rsid w:val="0086240B"/>
    <w:rsid w:val="00862647"/>
    <w:rsid w:val="00862B1F"/>
    <w:rsid w:val="008633EB"/>
    <w:rsid w:val="00863B7F"/>
    <w:rsid w:val="008642C2"/>
    <w:rsid w:val="0086470B"/>
    <w:rsid w:val="0086489B"/>
    <w:rsid w:val="008650CC"/>
    <w:rsid w:val="0086540F"/>
    <w:rsid w:val="00865983"/>
    <w:rsid w:val="0086699D"/>
    <w:rsid w:val="00867A9B"/>
    <w:rsid w:val="00870450"/>
    <w:rsid w:val="0087053C"/>
    <w:rsid w:val="00870A40"/>
    <w:rsid w:val="00871290"/>
    <w:rsid w:val="008713B2"/>
    <w:rsid w:val="00872AE7"/>
    <w:rsid w:val="00872B5F"/>
    <w:rsid w:val="0087307D"/>
    <w:rsid w:val="00873305"/>
    <w:rsid w:val="0087371A"/>
    <w:rsid w:val="0087376E"/>
    <w:rsid w:val="0087396B"/>
    <w:rsid w:val="00873C9B"/>
    <w:rsid w:val="00874D76"/>
    <w:rsid w:val="00874EED"/>
    <w:rsid w:val="0087540F"/>
    <w:rsid w:val="00875D1C"/>
    <w:rsid w:val="00876D42"/>
    <w:rsid w:val="00877028"/>
    <w:rsid w:val="0087702B"/>
    <w:rsid w:val="008800D1"/>
    <w:rsid w:val="00880D60"/>
    <w:rsid w:val="008811D4"/>
    <w:rsid w:val="0088157B"/>
    <w:rsid w:val="00881584"/>
    <w:rsid w:val="00881855"/>
    <w:rsid w:val="00882054"/>
    <w:rsid w:val="00882631"/>
    <w:rsid w:val="00882FC3"/>
    <w:rsid w:val="0088346E"/>
    <w:rsid w:val="00884D6B"/>
    <w:rsid w:val="0088614D"/>
    <w:rsid w:val="0088630D"/>
    <w:rsid w:val="008865F5"/>
    <w:rsid w:val="00886B8F"/>
    <w:rsid w:val="00887402"/>
    <w:rsid w:val="0088776E"/>
    <w:rsid w:val="008877D7"/>
    <w:rsid w:val="00890910"/>
    <w:rsid w:val="008910EF"/>
    <w:rsid w:val="00891B0D"/>
    <w:rsid w:val="00891CF5"/>
    <w:rsid w:val="00892209"/>
    <w:rsid w:val="008927AF"/>
    <w:rsid w:val="00892EF9"/>
    <w:rsid w:val="00892F84"/>
    <w:rsid w:val="0089343A"/>
    <w:rsid w:val="00893A81"/>
    <w:rsid w:val="00893B2F"/>
    <w:rsid w:val="00893C2D"/>
    <w:rsid w:val="00893E03"/>
    <w:rsid w:val="00893EBB"/>
    <w:rsid w:val="00895CC3"/>
    <w:rsid w:val="00896622"/>
    <w:rsid w:val="008966F4"/>
    <w:rsid w:val="00896B56"/>
    <w:rsid w:val="00897053"/>
    <w:rsid w:val="008A00FD"/>
    <w:rsid w:val="008A0B2C"/>
    <w:rsid w:val="008A1175"/>
    <w:rsid w:val="008A1902"/>
    <w:rsid w:val="008A1B25"/>
    <w:rsid w:val="008A2231"/>
    <w:rsid w:val="008A229C"/>
    <w:rsid w:val="008A2409"/>
    <w:rsid w:val="008A2971"/>
    <w:rsid w:val="008A30A9"/>
    <w:rsid w:val="008A3408"/>
    <w:rsid w:val="008A3764"/>
    <w:rsid w:val="008A39CF"/>
    <w:rsid w:val="008A3C99"/>
    <w:rsid w:val="008A3F1D"/>
    <w:rsid w:val="008A51C1"/>
    <w:rsid w:val="008A6168"/>
    <w:rsid w:val="008A6227"/>
    <w:rsid w:val="008A66B5"/>
    <w:rsid w:val="008A680D"/>
    <w:rsid w:val="008A6880"/>
    <w:rsid w:val="008A6CB7"/>
    <w:rsid w:val="008A7D87"/>
    <w:rsid w:val="008A7F87"/>
    <w:rsid w:val="008B0727"/>
    <w:rsid w:val="008B164E"/>
    <w:rsid w:val="008B18CA"/>
    <w:rsid w:val="008B269B"/>
    <w:rsid w:val="008B33A7"/>
    <w:rsid w:val="008B3503"/>
    <w:rsid w:val="008B3820"/>
    <w:rsid w:val="008B3AC4"/>
    <w:rsid w:val="008B3B73"/>
    <w:rsid w:val="008B3D68"/>
    <w:rsid w:val="008B522F"/>
    <w:rsid w:val="008B5728"/>
    <w:rsid w:val="008B5EF9"/>
    <w:rsid w:val="008B5F3D"/>
    <w:rsid w:val="008B6582"/>
    <w:rsid w:val="008B6B53"/>
    <w:rsid w:val="008B6C98"/>
    <w:rsid w:val="008B7620"/>
    <w:rsid w:val="008B7A22"/>
    <w:rsid w:val="008C05D3"/>
    <w:rsid w:val="008C0ED2"/>
    <w:rsid w:val="008C1F9E"/>
    <w:rsid w:val="008C245E"/>
    <w:rsid w:val="008C270E"/>
    <w:rsid w:val="008C44A4"/>
    <w:rsid w:val="008C4DA1"/>
    <w:rsid w:val="008C687A"/>
    <w:rsid w:val="008C6D0F"/>
    <w:rsid w:val="008C6E86"/>
    <w:rsid w:val="008C737A"/>
    <w:rsid w:val="008C74F9"/>
    <w:rsid w:val="008C7C04"/>
    <w:rsid w:val="008D0911"/>
    <w:rsid w:val="008D096D"/>
    <w:rsid w:val="008D0CAC"/>
    <w:rsid w:val="008D12E4"/>
    <w:rsid w:val="008D21B4"/>
    <w:rsid w:val="008D229B"/>
    <w:rsid w:val="008D2AAC"/>
    <w:rsid w:val="008D476D"/>
    <w:rsid w:val="008D4C9A"/>
    <w:rsid w:val="008D57B9"/>
    <w:rsid w:val="008D5E9E"/>
    <w:rsid w:val="008D6277"/>
    <w:rsid w:val="008D653C"/>
    <w:rsid w:val="008D6A07"/>
    <w:rsid w:val="008D6BE7"/>
    <w:rsid w:val="008D6F7A"/>
    <w:rsid w:val="008D7F41"/>
    <w:rsid w:val="008E0227"/>
    <w:rsid w:val="008E07F1"/>
    <w:rsid w:val="008E1A93"/>
    <w:rsid w:val="008E1D75"/>
    <w:rsid w:val="008E23A0"/>
    <w:rsid w:val="008E23BD"/>
    <w:rsid w:val="008E2411"/>
    <w:rsid w:val="008E2747"/>
    <w:rsid w:val="008E2923"/>
    <w:rsid w:val="008E2F0A"/>
    <w:rsid w:val="008E3BB6"/>
    <w:rsid w:val="008E5611"/>
    <w:rsid w:val="008E5A6A"/>
    <w:rsid w:val="008E5C2B"/>
    <w:rsid w:val="008E64AC"/>
    <w:rsid w:val="008E64D0"/>
    <w:rsid w:val="008E6931"/>
    <w:rsid w:val="008F115D"/>
    <w:rsid w:val="008F16D6"/>
    <w:rsid w:val="008F2778"/>
    <w:rsid w:val="008F31CF"/>
    <w:rsid w:val="008F37CA"/>
    <w:rsid w:val="008F3DBA"/>
    <w:rsid w:val="008F487E"/>
    <w:rsid w:val="008F4B1B"/>
    <w:rsid w:val="008F4E11"/>
    <w:rsid w:val="008F558B"/>
    <w:rsid w:val="008F617C"/>
    <w:rsid w:val="008F679F"/>
    <w:rsid w:val="008F6DE8"/>
    <w:rsid w:val="008F7240"/>
    <w:rsid w:val="008F73A7"/>
    <w:rsid w:val="008F73B1"/>
    <w:rsid w:val="008F7BB7"/>
    <w:rsid w:val="00901050"/>
    <w:rsid w:val="0090119F"/>
    <w:rsid w:val="009014CA"/>
    <w:rsid w:val="0090179C"/>
    <w:rsid w:val="00902181"/>
    <w:rsid w:val="00902E08"/>
    <w:rsid w:val="0090331D"/>
    <w:rsid w:val="009034A2"/>
    <w:rsid w:val="00903BB9"/>
    <w:rsid w:val="00904EA2"/>
    <w:rsid w:val="009050F0"/>
    <w:rsid w:val="00905133"/>
    <w:rsid w:val="00905F09"/>
    <w:rsid w:val="0090627A"/>
    <w:rsid w:val="00906C88"/>
    <w:rsid w:val="009111B2"/>
    <w:rsid w:val="0091182C"/>
    <w:rsid w:val="0091187F"/>
    <w:rsid w:val="00912AFC"/>
    <w:rsid w:val="00912CFE"/>
    <w:rsid w:val="00912D6B"/>
    <w:rsid w:val="00912EF3"/>
    <w:rsid w:val="009130A7"/>
    <w:rsid w:val="00914618"/>
    <w:rsid w:val="00914D71"/>
    <w:rsid w:val="009168A6"/>
    <w:rsid w:val="00916C01"/>
    <w:rsid w:val="00917467"/>
    <w:rsid w:val="00917576"/>
    <w:rsid w:val="0091777E"/>
    <w:rsid w:val="00920C36"/>
    <w:rsid w:val="00920EEE"/>
    <w:rsid w:val="009214A4"/>
    <w:rsid w:val="00921D4E"/>
    <w:rsid w:val="00921F28"/>
    <w:rsid w:val="00921FCC"/>
    <w:rsid w:val="009226CE"/>
    <w:rsid w:val="00922B87"/>
    <w:rsid w:val="009238E1"/>
    <w:rsid w:val="009246B1"/>
    <w:rsid w:val="00924E73"/>
    <w:rsid w:val="00926B85"/>
    <w:rsid w:val="00927195"/>
    <w:rsid w:val="0093179F"/>
    <w:rsid w:val="00931AC1"/>
    <w:rsid w:val="00931F67"/>
    <w:rsid w:val="009322AB"/>
    <w:rsid w:val="009325BF"/>
    <w:rsid w:val="009327F9"/>
    <w:rsid w:val="00932839"/>
    <w:rsid w:val="0093387D"/>
    <w:rsid w:val="00934B99"/>
    <w:rsid w:val="0093547A"/>
    <w:rsid w:val="009354D2"/>
    <w:rsid w:val="00935F54"/>
    <w:rsid w:val="009360A3"/>
    <w:rsid w:val="009374CB"/>
    <w:rsid w:val="00937BFF"/>
    <w:rsid w:val="0094056C"/>
    <w:rsid w:val="0094066B"/>
    <w:rsid w:val="009406B7"/>
    <w:rsid w:val="00940903"/>
    <w:rsid w:val="00940A6E"/>
    <w:rsid w:val="00940D32"/>
    <w:rsid w:val="0094183A"/>
    <w:rsid w:val="009429F8"/>
    <w:rsid w:val="00943180"/>
    <w:rsid w:val="00943271"/>
    <w:rsid w:val="0094520D"/>
    <w:rsid w:val="009452CB"/>
    <w:rsid w:val="009456DC"/>
    <w:rsid w:val="00945BDF"/>
    <w:rsid w:val="0094726C"/>
    <w:rsid w:val="00947645"/>
    <w:rsid w:val="00947805"/>
    <w:rsid w:val="0095017F"/>
    <w:rsid w:val="00950743"/>
    <w:rsid w:val="0095083D"/>
    <w:rsid w:val="00950854"/>
    <w:rsid w:val="00951744"/>
    <w:rsid w:val="009517AE"/>
    <w:rsid w:val="0095253F"/>
    <w:rsid w:val="00953B24"/>
    <w:rsid w:val="00954196"/>
    <w:rsid w:val="00954464"/>
    <w:rsid w:val="009546EA"/>
    <w:rsid w:val="0095648C"/>
    <w:rsid w:val="009565AD"/>
    <w:rsid w:val="0095688A"/>
    <w:rsid w:val="00957181"/>
    <w:rsid w:val="00957B6A"/>
    <w:rsid w:val="009600C8"/>
    <w:rsid w:val="00960387"/>
    <w:rsid w:val="00961440"/>
    <w:rsid w:val="009614AF"/>
    <w:rsid w:val="00961DF3"/>
    <w:rsid w:val="0096415D"/>
    <w:rsid w:val="00964A70"/>
    <w:rsid w:val="00964C89"/>
    <w:rsid w:val="00964CAE"/>
    <w:rsid w:val="00965661"/>
    <w:rsid w:val="0096689A"/>
    <w:rsid w:val="009677B2"/>
    <w:rsid w:val="009702F0"/>
    <w:rsid w:val="00970F6B"/>
    <w:rsid w:val="00971226"/>
    <w:rsid w:val="00971DBF"/>
    <w:rsid w:val="00971E57"/>
    <w:rsid w:val="00972133"/>
    <w:rsid w:val="00973190"/>
    <w:rsid w:val="00973855"/>
    <w:rsid w:val="00975407"/>
    <w:rsid w:val="00976200"/>
    <w:rsid w:val="009762F1"/>
    <w:rsid w:val="0097670C"/>
    <w:rsid w:val="00976A56"/>
    <w:rsid w:val="00976A5D"/>
    <w:rsid w:val="00977C2D"/>
    <w:rsid w:val="00980B05"/>
    <w:rsid w:val="00981091"/>
    <w:rsid w:val="00981AB5"/>
    <w:rsid w:val="00982319"/>
    <w:rsid w:val="009826E0"/>
    <w:rsid w:val="0098285E"/>
    <w:rsid w:val="00982C03"/>
    <w:rsid w:val="0098375C"/>
    <w:rsid w:val="00984207"/>
    <w:rsid w:val="00984437"/>
    <w:rsid w:val="009862EB"/>
    <w:rsid w:val="009865C4"/>
    <w:rsid w:val="00986DE9"/>
    <w:rsid w:val="00987000"/>
    <w:rsid w:val="009871BF"/>
    <w:rsid w:val="00990ECF"/>
    <w:rsid w:val="00991988"/>
    <w:rsid w:val="009920D5"/>
    <w:rsid w:val="00992408"/>
    <w:rsid w:val="009926AB"/>
    <w:rsid w:val="00992822"/>
    <w:rsid w:val="00992883"/>
    <w:rsid w:val="009929B9"/>
    <w:rsid w:val="00993D49"/>
    <w:rsid w:val="00996573"/>
    <w:rsid w:val="00996AC7"/>
    <w:rsid w:val="00996BA3"/>
    <w:rsid w:val="009971E2"/>
    <w:rsid w:val="0099742D"/>
    <w:rsid w:val="009974BF"/>
    <w:rsid w:val="009A0FDE"/>
    <w:rsid w:val="009A1A1E"/>
    <w:rsid w:val="009A2054"/>
    <w:rsid w:val="009A2248"/>
    <w:rsid w:val="009A2618"/>
    <w:rsid w:val="009A2DBE"/>
    <w:rsid w:val="009A343F"/>
    <w:rsid w:val="009A4E32"/>
    <w:rsid w:val="009A581A"/>
    <w:rsid w:val="009A602D"/>
    <w:rsid w:val="009A7DDA"/>
    <w:rsid w:val="009B28C1"/>
    <w:rsid w:val="009B2914"/>
    <w:rsid w:val="009B29B8"/>
    <w:rsid w:val="009B4038"/>
    <w:rsid w:val="009B4F9A"/>
    <w:rsid w:val="009B5E6F"/>
    <w:rsid w:val="009B65A7"/>
    <w:rsid w:val="009B71A5"/>
    <w:rsid w:val="009B7C45"/>
    <w:rsid w:val="009C0487"/>
    <w:rsid w:val="009C0BC3"/>
    <w:rsid w:val="009C0DDF"/>
    <w:rsid w:val="009C1ED8"/>
    <w:rsid w:val="009C2169"/>
    <w:rsid w:val="009C29C5"/>
    <w:rsid w:val="009C2A34"/>
    <w:rsid w:val="009C3AFC"/>
    <w:rsid w:val="009C4297"/>
    <w:rsid w:val="009C4411"/>
    <w:rsid w:val="009C512E"/>
    <w:rsid w:val="009C6862"/>
    <w:rsid w:val="009C6F50"/>
    <w:rsid w:val="009C7282"/>
    <w:rsid w:val="009C747D"/>
    <w:rsid w:val="009C757B"/>
    <w:rsid w:val="009D0554"/>
    <w:rsid w:val="009D0930"/>
    <w:rsid w:val="009D0955"/>
    <w:rsid w:val="009D0A62"/>
    <w:rsid w:val="009D11A6"/>
    <w:rsid w:val="009D1626"/>
    <w:rsid w:val="009D16D9"/>
    <w:rsid w:val="009D1761"/>
    <w:rsid w:val="009D23AF"/>
    <w:rsid w:val="009D2CFB"/>
    <w:rsid w:val="009D32CE"/>
    <w:rsid w:val="009D5465"/>
    <w:rsid w:val="009D5C9D"/>
    <w:rsid w:val="009D6ADD"/>
    <w:rsid w:val="009D6E27"/>
    <w:rsid w:val="009E0AB8"/>
    <w:rsid w:val="009E1400"/>
    <w:rsid w:val="009E27CF"/>
    <w:rsid w:val="009E3A66"/>
    <w:rsid w:val="009E410D"/>
    <w:rsid w:val="009E46B8"/>
    <w:rsid w:val="009E48E6"/>
    <w:rsid w:val="009E4B60"/>
    <w:rsid w:val="009E4C02"/>
    <w:rsid w:val="009E51C8"/>
    <w:rsid w:val="009E581C"/>
    <w:rsid w:val="009E58A5"/>
    <w:rsid w:val="009E6028"/>
    <w:rsid w:val="009E6DFD"/>
    <w:rsid w:val="009E6E79"/>
    <w:rsid w:val="009F076A"/>
    <w:rsid w:val="009F0D02"/>
    <w:rsid w:val="009F1C50"/>
    <w:rsid w:val="009F1F75"/>
    <w:rsid w:val="009F1FAB"/>
    <w:rsid w:val="009F245E"/>
    <w:rsid w:val="009F2615"/>
    <w:rsid w:val="009F274F"/>
    <w:rsid w:val="009F2A31"/>
    <w:rsid w:val="009F324A"/>
    <w:rsid w:val="009F39F4"/>
    <w:rsid w:val="009F39FE"/>
    <w:rsid w:val="009F4955"/>
    <w:rsid w:val="009F53EA"/>
    <w:rsid w:val="009F5548"/>
    <w:rsid w:val="009F5D68"/>
    <w:rsid w:val="009F5F82"/>
    <w:rsid w:val="009F6AED"/>
    <w:rsid w:val="009F6DFE"/>
    <w:rsid w:val="009F72A5"/>
    <w:rsid w:val="009F77B6"/>
    <w:rsid w:val="009F788C"/>
    <w:rsid w:val="009F7AFC"/>
    <w:rsid w:val="009F7C59"/>
    <w:rsid w:val="00A0142D"/>
    <w:rsid w:val="00A01AA3"/>
    <w:rsid w:val="00A01C0C"/>
    <w:rsid w:val="00A02017"/>
    <w:rsid w:val="00A025C9"/>
    <w:rsid w:val="00A0287F"/>
    <w:rsid w:val="00A03964"/>
    <w:rsid w:val="00A04D4E"/>
    <w:rsid w:val="00A04ED6"/>
    <w:rsid w:val="00A04FBF"/>
    <w:rsid w:val="00A052A9"/>
    <w:rsid w:val="00A0610B"/>
    <w:rsid w:val="00A064D7"/>
    <w:rsid w:val="00A076A5"/>
    <w:rsid w:val="00A0787D"/>
    <w:rsid w:val="00A07AF0"/>
    <w:rsid w:val="00A1039E"/>
    <w:rsid w:val="00A10700"/>
    <w:rsid w:val="00A10A42"/>
    <w:rsid w:val="00A11247"/>
    <w:rsid w:val="00A11A46"/>
    <w:rsid w:val="00A11A58"/>
    <w:rsid w:val="00A11E39"/>
    <w:rsid w:val="00A121FC"/>
    <w:rsid w:val="00A12DDD"/>
    <w:rsid w:val="00A13803"/>
    <w:rsid w:val="00A146D9"/>
    <w:rsid w:val="00A14F24"/>
    <w:rsid w:val="00A15709"/>
    <w:rsid w:val="00A15F30"/>
    <w:rsid w:val="00A161C8"/>
    <w:rsid w:val="00A161FB"/>
    <w:rsid w:val="00A16CB2"/>
    <w:rsid w:val="00A20C27"/>
    <w:rsid w:val="00A21717"/>
    <w:rsid w:val="00A217EA"/>
    <w:rsid w:val="00A21B0D"/>
    <w:rsid w:val="00A21B94"/>
    <w:rsid w:val="00A21C9B"/>
    <w:rsid w:val="00A21D66"/>
    <w:rsid w:val="00A2284A"/>
    <w:rsid w:val="00A22A7F"/>
    <w:rsid w:val="00A22ECA"/>
    <w:rsid w:val="00A23682"/>
    <w:rsid w:val="00A2379D"/>
    <w:rsid w:val="00A24CFA"/>
    <w:rsid w:val="00A25338"/>
    <w:rsid w:val="00A25A07"/>
    <w:rsid w:val="00A25A27"/>
    <w:rsid w:val="00A264F9"/>
    <w:rsid w:val="00A26649"/>
    <w:rsid w:val="00A26872"/>
    <w:rsid w:val="00A26A77"/>
    <w:rsid w:val="00A26B15"/>
    <w:rsid w:val="00A27604"/>
    <w:rsid w:val="00A3042B"/>
    <w:rsid w:val="00A315D6"/>
    <w:rsid w:val="00A31980"/>
    <w:rsid w:val="00A32C04"/>
    <w:rsid w:val="00A32CF0"/>
    <w:rsid w:val="00A32DEA"/>
    <w:rsid w:val="00A33CD0"/>
    <w:rsid w:val="00A34832"/>
    <w:rsid w:val="00A35098"/>
    <w:rsid w:val="00A36203"/>
    <w:rsid w:val="00A36405"/>
    <w:rsid w:val="00A364F9"/>
    <w:rsid w:val="00A36C79"/>
    <w:rsid w:val="00A36F4E"/>
    <w:rsid w:val="00A37D91"/>
    <w:rsid w:val="00A407E1"/>
    <w:rsid w:val="00A40A69"/>
    <w:rsid w:val="00A41A7B"/>
    <w:rsid w:val="00A41EE7"/>
    <w:rsid w:val="00A4219E"/>
    <w:rsid w:val="00A42334"/>
    <w:rsid w:val="00A435AC"/>
    <w:rsid w:val="00A43943"/>
    <w:rsid w:val="00A44324"/>
    <w:rsid w:val="00A4494E"/>
    <w:rsid w:val="00A44DD4"/>
    <w:rsid w:val="00A45769"/>
    <w:rsid w:val="00A45B26"/>
    <w:rsid w:val="00A46239"/>
    <w:rsid w:val="00A46A94"/>
    <w:rsid w:val="00A4729F"/>
    <w:rsid w:val="00A50B9D"/>
    <w:rsid w:val="00A519FF"/>
    <w:rsid w:val="00A526DA"/>
    <w:rsid w:val="00A52C0A"/>
    <w:rsid w:val="00A52ED5"/>
    <w:rsid w:val="00A5329E"/>
    <w:rsid w:val="00A532A7"/>
    <w:rsid w:val="00A53829"/>
    <w:rsid w:val="00A54251"/>
    <w:rsid w:val="00A549E7"/>
    <w:rsid w:val="00A54A27"/>
    <w:rsid w:val="00A54AE9"/>
    <w:rsid w:val="00A556BD"/>
    <w:rsid w:val="00A55941"/>
    <w:rsid w:val="00A55C59"/>
    <w:rsid w:val="00A55EF0"/>
    <w:rsid w:val="00A56BD7"/>
    <w:rsid w:val="00A57436"/>
    <w:rsid w:val="00A603F6"/>
    <w:rsid w:val="00A60405"/>
    <w:rsid w:val="00A60D4B"/>
    <w:rsid w:val="00A617F7"/>
    <w:rsid w:val="00A625EE"/>
    <w:rsid w:val="00A62A08"/>
    <w:rsid w:val="00A6374D"/>
    <w:rsid w:val="00A63C0A"/>
    <w:rsid w:val="00A64150"/>
    <w:rsid w:val="00A64277"/>
    <w:rsid w:val="00A64358"/>
    <w:rsid w:val="00A6497A"/>
    <w:rsid w:val="00A65526"/>
    <w:rsid w:val="00A6596B"/>
    <w:rsid w:val="00A6754D"/>
    <w:rsid w:val="00A678E2"/>
    <w:rsid w:val="00A67AE4"/>
    <w:rsid w:val="00A67D1D"/>
    <w:rsid w:val="00A67E35"/>
    <w:rsid w:val="00A702D1"/>
    <w:rsid w:val="00A73018"/>
    <w:rsid w:val="00A7334C"/>
    <w:rsid w:val="00A73A91"/>
    <w:rsid w:val="00A7412F"/>
    <w:rsid w:val="00A74871"/>
    <w:rsid w:val="00A74C9A"/>
    <w:rsid w:val="00A75435"/>
    <w:rsid w:val="00A75441"/>
    <w:rsid w:val="00A76144"/>
    <w:rsid w:val="00A77E2D"/>
    <w:rsid w:val="00A8103A"/>
    <w:rsid w:val="00A8156D"/>
    <w:rsid w:val="00A815A1"/>
    <w:rsid w:val="00A82328"/>
    <w:rsid w:val="00A840D4"/>
    <w:rsid w:val="00A85F38"/>
    <w:rsid w:val="00A86465"/>
    <w:rsid w:val="00A872CD"/>
    <w:rsid w:val="00A87963"/>
    <w:rsid w:val="00A87D2B"/>
    <w:rsid w:val="00A87F34"/>
    <w:rsid w:val="00A87FF9"/>
    <w:rsid w:val="00A90838"/>
    <w:rsid w:val="00A90B0B"/>
    <w:rsid w:val="00A90CFB"/>
    <w:rsid w:val="00A9151A"/>
    <w:rsid w:val="00A92855"/>
    <w:rsid w:val="00A92DB4"/>
    <w:rsid w:val="00A93025"/>
    <w:rsid w:val="00A93403"/>
    <w:rsid w:val="00A93DFE"/>
    <w:rsid w:val="00A94D42"/>
    <w:rsid w:val="00A9588C"/>
    <w:rsid w:val="00A95A62"/>
    <w:rsid w:val="00A95ACE"/>
    <w:rsid w:val="00A96521"/>
    <w:rsid w:val="00A978B2"/>
    <w:rsid w:val="00A97907"/>
    <w:rsid w:val="00AA1397"/>
    <w:rsid w:val="00AA1D9D"/>
    <w:rsid w:val="00AA1F85"/>
    <w:rsid w:val="00AA2597"/>
    <w:rsid w:val="00AA27DD"/>
    <w:rsid w:val="00AA2DAA"/>
    <w:rsid w:val="00AA3458"/>
    <w:rsid w:val="00AA3723"/>
    <w:rsid w:val="00AA39F6"/>
    <w:rsid w:val="00AA4D73"/>
    <w:rsid w:val="00AA5AEF"/>
    <w:rsid w:val="00AA6D63"/>
    <w:rsid w:val="00AA6F14"/>
    <w:rsid w:val="00AA729A"/>
    <w:rsid w:val="00AB0097"/>
    <w:rsid w:val="00AB00E5"/>
    <w:rsid w:val="00AB19A0"/>
    <w:rsid w:val="00AB1C88"/>
    <w:rsid w:val="00AB2FE6"/>
    <w:rsid w:val="00AB3617"/>
    <w:rsid w:val="00AB37BF"/>
    <w:rsid w:val="00AB5671"/>
    <w:rsid w:val="00AB57ED"/>
    <w:rsid w:val="00AB613A"/>
    <w:rsid w:val="00AB65FA"/>
    <w:rsid w:val="00AB68DA"/>
    <w:rsid w:val="00AB70F2"/>
    <w:rsid w:val="00AB71D8"/>
    <w:rsid w:val="00AB7BA9"/>
    <w:rsid w:val="00AB7CDB"/>
    <w:rsid w:val="00AB7EF5"/>
    <w:rsid w:val="00AC0424"/>
    <w:rsid w:val="00AC0897"/>
    <w:rsid w:val="00AC097C"/>
    <w:rsid w:val="00AC0EA1"/>
    <w:rsid w:val="00AC1445"/>
    <w:rsid w:val="00AC1692"/>
    <w:rsid w:val="00AC1C34"/>
    <w:rsid w:val="00AC1D65"/>
    <w:rsid w:val="00AC25A6"/>
    <w:rsid w:val="00AC25CE"/>
    <w:rsid w:val="00AC31F7"/>
    <w:rsid w:val="00AC3E2A"/>
    <w:rsid w:val="00AC4765"/>
    <w:rsid w:val="00AC5061"/>
    <w:rsid w:val="00AC5C24"/>
    <w:rsid w:val="00AC665E"/>
    <w:rsid w:val="00AC6F2F"/>
    <w:rsid w:val="00AC772A"/>
    <w:rsid w:val="00AC7879"/>
    <w:rsid w:val="00AD06F0"/>
    <w:rsid w:val="00AD2063"/>
    <w:rsid w:val="00AD23D5"/>
    <w:rsid w:val="00AD366E"/>
    <w:rsid w:val="00AD42E9"/>
    <w:rsid w:val="00AD45C0"/>
    <w:rsid w:val="00AD46C1"/>
    <w:rsid w:val="00AD4779"/>
    <w:rsid w:val="00AD4DCB"/>
    <w:rsid w:val="00AD6B6C"/>
    <w:rsid w:val="00AD6FEA"/>
    <w:rsid w:val="00AD7463"/>
    <w:rsid w:val="00AD7593"/>
    <w:rsid w:val="00AD7E59"/>
    <w:rsid w:val="00AE0331"/>
    <w:rsid w:val="00AE180C"/>
    <w:rsid w:val="00AE1DD9"/>
    <w:rsid w:val="00AE21D3"/>
    <w:rsid w:val="00AE2B83"/>
    <w:rsid w:val="00AE2EDE"/>
    <w:rsid w:val="00AE31DD"/>
    <w:rsid w:val="00AE32F4"/>
    <w:rsid w:val="00AE3588"/>
    <w:rsid w:val="00AE3687"/>
    <w:rsid w:val="00AE38BA"/>
    <w:rsid w:val="00AE5A6B"/>
    <w:rsid w:val="00AE6237"/>
    <w:rsid w:val="00AE65E4"/>
    <w:rsid w:val="00AE6A57"/>
    <w:rsid w:val="00AE6ECB"/>
    <w:rsid w:val="00AE7D77"/>
    <w:rsid w:val="00AE7FB5"/>
    <w:rsid w:val="00AE7FC9"/>
    <w:rsid w:val="00AF0828"/>
    <w:rsid w:val="00AF1AB2"/>
    <w:rsid w:val="00AF2146"/>
    <w:rsid w:val="00AF2508"/>
    <w:rsid w:val="00AF35B6"/>
    <w:rsid w:val="00AF54A8"/>
    <w:rsid w:val="00AF552C"/>
    <w:rsid w:val="00AF55CA"/>
    <w:rsid w:val="00AF57CE"/>
    <w:rsid w:val="00AF5DB9"/>
    <w:rsid w:val="00AF658F"/>
    <w:rsid w:val="00AF67D1"/>
    <w:rsid w:val="00AF68B7"/>
    <w:rsid w:val="00AF7043"/>
    <w:rsid w:val="00B00187"/>
    <w:rsid w:val="00B00325"/>
    <w:rsid w:val="00B0072A"/>
    <w:rsid w:val="00B00E98"/>
    <w:rsid w:val="00B0232C"/>
    <w:rsid w:val="00B023D8"/>
    <w:rsid w:val="00B044E5"/>
    <w:rsid w:val="00B04E12"/>
    <w:rsid w:val="00B06CA9"/>
    <w:rsid w:val="00B06CC8"/>
    <w:rsid w:val="00B06EF9"/>
    <w:rsid w:val="00B0783C"/>
    <w:rsid w:val="00B107D5"/>
    <w:rsid w:val="00B10F21"/>
    <w:rsid w:val="00B11643"/>
    <w:rsid w:val="00B117F0"/>
    <w:rsid w:val="00B11C95"/>
    <w:rsid w:val="00B12422"/>
    <w:rsid w:val="00B1281E"/>
    <w:rsid w:val="00B1314B"/>
    <w:rsid w:val="00B1337D"/>
    <w:rsid w:val="00B1362A"/>
    <w:rsid w:val="00B14D6A"/>
    <w:rsid w:val="00B1604A"/>
    <w:rsid w:val="00B167BE"/>
    <w:rsid w:val="00B16C43"/>
    <w:rsid w:val="00B16DE4"/>
    <w:rsid w:val="00B201C2"/>
    <w:rsid w:val="00B2059E"/>
    <w:rsid w:val="00B20A3D"/>
    <w:rsid w:val="00B20DCA"/>
    <w:rsid w:val="00B20E13"/>
    <w:rsid w:val="00B226DF"/>
    <w:rsid w:val="00B23606"/>
    <w:rsid w:val="00B244D2"/>
    <w:rsid w:val="00B24969"/>
    <w:rsid w:val="00B25201"/>
    <w:rsid w:val="00B25960"/>
    <w:rsid w:val="00B25B8E"/>
    <w:rsid w:val="00B26629"/>
    <w:rsid w:val="00B271B5"/>
    <w:rsid w:val="00B27BEE"/>
    <w:rsid w:val="00B3108A"/>
    <w:rsid w:val="00B31D22"/>
    <w:rsid w:val="00B31F57"/>
    <w:rsid w:val="00B3269E"/>
    <w:rsid w:val="00B32D5C"/>
    <w:rsid w:val="00B332C3"/>
    <w:rsid w:val="00B33ACF"/>
    <w:rsid w:val="00B33D7A"/>
    <w:rsid w:val="00B33EA6"/>
    <w:rsid w:val="00B34B03"/>
    <w:rsid w:val="00B35305"/>
    <w:rsid w:val="00B354B6"/>
    <w:rsid w:val="00B35C29"/>
    <w:rsid w:val="00B366DD"/>
    <w:rsid w:val="00B369C1"/>
    <w:rsid w:val="00B3765C"/>
    <w:rsid w:val="00B37C36"/>
    <w:rsid w:val="00B401DB"/>
    <w:rsid w:val="00B40DE1"/>
    <w:rsid w:val="00B41676"/>
    <w:rsid w:val="00B416F8"/>
    <w:rsid w:val="00B417ED"/>
    <w:rsid w:val="00B41A8A"/>
    <w:rsid w:val="00B4239C"/>
    <w:rsid w:val="00B428DD"/>
    <w:rsid w:val="00B428F0"/>
    <w:rsid w:val="00B4382C"/>
    <w:rsid w:val="00B439B8"/>
    <w:rsid w:val="00B44A84"/>
    <w:rsid w:val="00B45281"/>
    <w:rsid w:val="00B452A1"/>
    <w:rsid w:val="00B45677"/>
    <w:rsid w:val="00B45A09"/>
    <w:rsid w:val="00B4691C"/>
    <w:rsid w:val="00B47AF4"/>
    <w:rsid w:val="00B500C6"/>
    <w:rsid w:val="00B50541"/>
    <w:rsid w:val="00B50E44"/>
    <w:rsid w:val="00B514D3"/>
    <w:rsid w:val="00B51594"/>
    <w:rsid w:val="00B516C5"/>
    <w:rsid w:val="00B52074"/>
    <w:rsid w:val="00B52158"/>
    <w:rsid w:val="00B524F0"/>
    <w:rsid w:val="00B530D5"/>
    <w:rsid w:val="00B53474"/>
    <w:rsid w:val="00B547B4"/>
    <w:rsid w:val="00B548B7"/>
    <w:rsid w:val="00B56EF2"/>
    <w:rsid w:val="00B5771C"/>
    <w:rsid w:val="00B57CC8"/>
    <w:rsid w:val="00B60886"/>
    <w:rsid w:val="00B608CB"/>
    <w:rsid w:val="00B60A3E"/>
    <w:rsid w:val="00B619C3"/>
    <w:rsid w:val="00B61EF6"/>
    <w:rsid w:val="00B62FAD"/>
    <w:rsid w:val="00B63697"/>
    <w:rsid w:val="00B63B7D"/>
    <w:rsid w:val="00B63DBF"/>
    <w:rsid w:val="00B662A6"/>
    <w:rsid w:val="00B679C1"/>
    <w:rsid w:val="00B67CF9"/>
    <w:rsid w:val="00B67E5F"/>
    <w:rsid w:val="00B71160"/>
    <w:rsid w:val="00B71F86"/>
    <w:rsid w:val="00B72C04"/>
    <w:rsid w:val="00B72DA3"/>
    <w:rsid w:val="00B72F78"/>
    <w:rsid w:val="00B739FC"/>
    <w:rsid w:val="00B7444A"/>
    <w:rsid w:val="00B74B42"/>
    <w:rsid w:val="00B74BED"/>
    <w:rsid w:val="00B75FA0"/>
    <w:rsid w:val="00B767A7"/>
    <w:rsid w:val="00B77304"/>
    <w:rsid w:val="00B77BA0"/>
    <w:rsid w:val="00B80888"/>
    <w:rsid w:val="00B80E07"/>
    <w:rsid w:val="00B81468"/>
    <w:rsid w:val="00B82484"/>
    <w:rsid w:val="00B8257C"/>
    <w:rsid w:val="00B827E3"/>
    <w:rsid w:val="00B82F0D"/>
    <w:rsid w:val="00B835F4"/>
    <w:rsid w:val="00B83686"/>
    <w:rsid w:val="00B83B21"/>
    <w:rsid w:val="00B83EC9"/>
    <w:rsid w:val="00B843B8"/>
    <w:rsid w:val="00B843D1"/>
    <w:rsid w:val="00B8464A"/>
    <w:rsid w:val="00B8484C"/>
    <w:rsid w:val="00B848FC"/>
    <w:rsid w:val="00B85672"/>
    <w:rsid w:val="00B85A43"/>
    <w:rsid w:val="00B85F0F"/>
    <w:rsid w:val="00B869BC"/>
    <w:rsid w:val="00B86E2C"/>
    <w:rsid w:val="00B877EC"/>
    <w:rsid w:val="00B90CFE"/>
    <w:rsid w:val="00B91278"/>
    <w:rsid w:val="00B9263A"/>
    <w:rsid w:val="00B92824"/>
    <w:rsid w:val="00B92CFD"/>
    <w:rsid w:val="00B932F1"/>
    <w:rsid w:val="00B934A2"/>
    <w:rsid w:val="00B93852"/>
    <w:rsid w:val="00B94017"/>
    <w:rsid w:val="00B945C1"/>
    <w:rsid w:val="00B95464"/>
    <w:rsid w:val="00B954C2"/>
    <w:rsid w:val="00B95A84"/>
    <w:rsid w:val="00B963FA"/>
    <w:rsid w:val="00B967C3"/>
    <w:rsid w:val="00B97226"/>
    <w:rsid w:val="00B9783C"/>
    <w:rsid w:val="00BA03CD"/>
    <w:rsid w:val="00BA1306"/>
    <w:rsid w:val="00BA1637"/>
    <w:rsid w:val="00BA20A6"/>
    <w:rsid w:val="00BA218E"/>
    <w:rsid w:val="00BA2B19"/>
    <w:rsid w:val="00BA4895"/>
    <w:rsid w:val="00BA493C"/>
    <w:rsid w:val="00BA4A08"/>
    <w:rsid w:val="00BA4AE1"/>
    <w:rsid w:val="00BA565D"/>
    <w:rsid w:val="00BA5841"/>
    <w:rsid w:val="00BA5EB5"/>
    <w:rsid w:val="00BA6192"/>
    <w:rsid w:val="00BA6BFF"/>
    <w:rsid w:val="00BA6D26"/>
    <w:rsid w:val="00BA72BC"/>
    <w:rsid w:val="00BA7767"/>
    <w:rsid w:val="00BA7B08"/>
    <w:rsid w:val="00BA7EA2"/>
    <w:rsid w:val="00BB02A0"/>
    <w:rsid w:val="00BB187D"/>
    <w:rsid w:val="00BB1C33"/>
    <w:rsid w:val="00BB1EBB"/>
    <w:rsid w:val="00BB2380"/>
    <w:rsid w:val="00BB238B"/>
    <w:rsid w:val="00BB23A4"/>
    <w:rsid w:val="00BB24E0"/>
    <w:rsid w:val="00BB26BC"/>
    <w:rsid w:val="00BB35A8"/>
    <w:rsid w:val="00BB35BF"/>
    <w:rsid w:val="00BB3750"/>
    <w:rsid w:val="00BB3B6B"/>
    <w:rsid w:val="00BB4108"/>
    <w:rsid w:val="00BB4C3A"/>
    <w:rsid w:val="00BB559F"/>
    <w:rsid w:val="00BB59DD"/>
    <w:rsid w:val="00BB62D9"/>
    <w:rsid w:val="00BB701D"/>
    <w:rsid w:val="00BB75EE"/>
    <w:rsid w:val="00BB78B0"/>
    <w:rsid w:val="00BB7E86"/>
    <w:rsid w:val="00BC00B5"/>
    <w:rsid w:val="00BC036A"/>
    <w:rsid w:val="00BC03BE"/>
    <w:rsid w:val="00BC063C"/>
    <w:rsid w:val="00BC0708"/>
    <w:rsid w:val="00BC0729"/>
    <w:rsid w:val="00BC0FE8"/>
    <w:rsid w:val="00BC22C8"/>
    <w:rsid w:val="00BC37D0"/>
    <w:rsid w:val="00BC3EFB"/>
    <w:rsid w:val="00BC490E"/>
    <w:rsid w:val="00BC4E24"/>
    <w:rsid w:val="00BC4EAE"/>
    <w:rsid w:val="00BC57E8"/>
    <w:rsid w:val="00BC69A8"/>
    <w:rsid w:val="00BC700D"/>
    <w:rsid w:val="00BD01E8"/>
    <w:rsid w:val="00BD035A"/>
    <w:rsid w:val="00BD0FEC"/>
    <w:rsid w:val="00BD1A21"/>
    <w:rsid w:val="00BD1F75"/>
    <w:rsid w:val="00BD32CC"/>
    <w:rsid w:val="00BD3511"/>
    <w:rsid w:val="00BD366D"/>
    <w:rsid w:val="00BD3A8A"/>
    <w:rsid w:val="00BD4277"/>
    <w:rsid w:val="00BD4C11"/>
    <w:rsid w:val="00BD4C9C"/>
    <w:rsid w:val="00BD4E29"/>
    <w:rsid w:val="00BD53E4"/>
    <w:rsid w:val="00BD5536"/>
    <w:rsid w:val="00BD55C5"/>
    <w:rsid w:val="00BD59C1"/>
    <w:rsid w:val="00BD6241"/>
    <w:rsid w:val="00BD64E4"/>
    <w:rsid w:val="00BD6C86"/>
    <w:rsid w:val="00BD6F7F"/>
    <w:rsid w:val="00BD74ED"/>
    <w:rsid w:val="00BD770F"/>
    <w:rsid w:val="00BE01DF"/>
    <w:rsid w:val="00BE0ABA"/>
    <w:rsid w:val="00BE0CDC"/>
    <w:rsid w:val="00BE12FB"/>
    <w:rsid w:val="00BE1CD1"/>
    <w:rsid w:val="00BE28FD"/>
    <w:rsid w:val="00BE317C"/>
    <w:rsid w:val="00BE4D36"/>
    <w:rsid w:val="00BE531F"/>
    <w:rsid w:val="00BE5BE0"/>
    <w:rsid w:val="00BE5D91"/>
    <w:rsid w:val="00BE668E"/>
    <w:rsid w:val="00BE66C3"/>
    <w:rsid w:val="00BE6C18"/>
    <w:rsid w:val="00BE745A"/>
    <w:rsid w:val="00BE74E5"/>
    <w:rsid w:val="00BF0625"/>
    <w:rsid w:val="00BF0C82"/>
    <w:rsid w:val="00BF11E3"/>
    <w:rsid w:val="00BF138F"/>
    <w:rsid w:val="00BF1A71"/>
    <w:rsid w:val="00BF1A92"/>
    <w:rsid w:val="00BF2652"/>
    <w:rsid w:val="00BF2C10"/>
    <w:rsid w:val="00BF2C45"/>
    <w:rsid w:val="00BF32A9"/>
    <w:rsid w:val="00BF4151"/>
    <w:rsid w:val="00BF5723"/>
    <w:rsid w:val="00BF5B0F"/>
    <w:rsid w:val="00BF6263"/>
    <w:rsid w:val="00BF6E36"/>
    <w:rsid w:val="00BF76D8"/>
    <w:rsid w:val="00C00E7E"/>
    <w:rsid w:val="00C02127"/>
    <w:rsid w:val="00C02F7C"/>
    <w:rsid w:val="00C03180"/>
    <w:rsid w:val="00C0353F"/>
    <w:rsid w:val="00C03545"/>
    <w:rsid w:val="00C03BFF"/>
    <w:rsid w:val="00C040CE"/>
    <w:rsid w:val="00C051E6"/>
    <w:rsid w:val="00C0561F"/>
    <w:rsid w:val="00C0575F"/>
    <w:rsid w:val="00C06C32"/>
    <w:rsid w:val="00C06C7A"/>
    <w:rsid w:val="00C078FF"/>
    <w:rsid w:val="00C07B4D"/>
    <w:rsid w:val="00C07E7D"/>
    <w:rsid w:val="00C10389"/>
    <w:rsid w:val="00C10B80"/>
    <w:rsid w:val="00C1134A"/>
    <w:rsid w:val="00C1255A"/>
    <w:rsid w:val="00C12C30"/>
    <w:rsid w:val="00C14764"/>
    <w:rsid w:val="00C15474"/>
    <w:rsid w:val="00C158D0"/>
    <w:rsid w:val="00C15EF3"/>
    <w:rsid w:val="00C165BF"/>
    <w:rsid w:val="00C166CE"/>
    <w:rsid w:val="00C16848"/>
    <w:rsid w:val="00C16A5C"/>
    <w:rsid w:val="00C16C6A"/>
    <w:rsid w:val="00C17545"/>
    <w:rsid w:val="00C2152C"/>
    <w:rsid w:val="00C21F0B"/>
    <w:rsid w:val="00C2201A"/>
    <w:rsid w:val="00C22322"/>
    <w:rsid w:val="00C22616"/>
    <w:rsid w:val="00C227E1"/>
    <w:rsid w:val="00C22C7B"/>
    <w:rsid w:val="00C22E41"/>
    <w:rsid w:val="00C22EB0"/>
    <w:rsid w:val="00C231B6"/>
    <w:rsid w:val="00C2332C"/>
    <w:rsid w:val="00C23B34"/>
    <w:rsid w:val="00C23E9F"/>
    <w:rsid w:val="00C24D11"/>
    <w:rsid w:val="00C25143"/>
    <w:rsid w:val="00C254EE"/>
    <w:rsid w:val="00C258A0"/>
    <w:rsid w:val="00C25CC5"/>
    <w:rsid w:val="00C2705C"/>
    <w:rsid w:val="00C27191"/>
    <w:rsid w:val="00C3069F"/>
    <w:rsid w:val="00C3088E"/>
    <w:rsid w:val="00C30B8F"/>
    <w:rsid w:val="00C30BBB"/>
    <w:rsid w:val="00C30E2D"/>
    <w:rsid w:val="00C30FE3"/>
    <w:rsid w:val="00C31329"/>
    <w:rsid w:val="00C31A8A"/>
    <w:rsid w:val="00C31ABF"/>
    <w:rsid w:val="00C32061"/>
    <w:rsid w:val="00C320A2"/>
    <w:rsid w:val="00C32100"/>
    <w:rsid w:val="00C326CA"/>
    <w:rsid w:val="00C32B72"/>
    <w:rsid w:val="00C32C5C"/>
    <w:rsid w:val="00C3322D"/>
    <w:rsid w:val="00C35758"/>
    <w:rsid w:val="00C35A42"/>
    <w:rsid w:val="00C36C45"/>
    <w:rsid w:val="00C374DF"/>
    <w:rsid w:val="00C37E0A"/>
    <w:rsid w:val="00C408BA"/>
    <w:rsid w:val="00C41616"/>
    <w:rsid w:val="00C4183E"/>
    <w:rsid w:val="00C418BA"/>
    <w:rsid w:val="00C420F6"/>
    <w:rsid w:val="00C42856"/>
    <w:rsid w:val="00C42F1E"/>
    <w:rsid w:val="00C43556"/>
    <w:rsid w:val="00C43708"/>
    <w:rsid w:val="00C43739"/>
    <w:rsid w:val="00C438B2"/>
    <w:rsid w:val="00C43D4F"/>
    <w:rsid w:val="00C4416D"/>
    <w:rsid w:val="00C450E8"/>
    <w:rsid w:val="00C45490"/>
    <w:rsid w:val="00C46657"/>
    <w:rsid w:val="00C46AB4"/>
    <w:rsid w:val="00C46B1B"/>
    <w:rsid w:val="00C46E25"/>
    <w:rsid w:val="00C47DC0"/>
    <w:rsid w:val="00C5054F"/>
    <w:rsid w:val="00C50A6D"/>
    <w:rsid w:val="00C5264D"/>
    <w:rsid w:val="00C52C7F"/>
    <w:rsid w:val="00C536FC"/>
    <w:rsid w:val="00C53AB2"/>
    <w:rsid w:val="00C53EBF"/>
    <w:rsid w:val="00C540FA"/>
    <w:rsid w:val="00C546A4"/>
    <w:rsid w:val="00C546BF"/>
    <w:rsid w:val="00C561AB"/>
    <w:rsid w:val="00C561AE"/>
    <w:rsid w:val="00C56219"/>
    <w:rsid w:val="00C577E7"/>
    <w:rsid w:val="00C578E8"/>
    <w:rsid w:val="00C603AD"/>
    <w:rsid w:val="00C60D9C"/>
    <w:rsid w:val="00C60E3A"/>
    <w:rsid w:val="00C60F4C"/>
    <w:rsid w:val="00C614B7"/>
    <w:rsid w:val="00C6257B"/>
    <w:rsid w:val="00C6307E"/>
    <w:rsid w:val="00C636A2"/>
    <w:rsid w:val="00C63A8E"/>
    <w:rsid w:val="00C63C10"/>
    <w:rsid w:val="00C65174"/>
    <w:rsid w:val="00C65B3C"/>
    <w:rsid w:val="00C67346"/>
    <w:rsid w:val="00C67A65"/>
    <w:rsid w:val="00C7031E"/>
    <w:rsid w:val="00C70971"/>
    <w:rsid w:val="00C70BB3"/>
    <w:rsid w:val="00C70D0D"/>
    <w:rsid w:val="00C7202F"/>
    <w:rsid w:val="00C72233"/>
    <w:rsid w:val="00C725A1"/>
    <w:rsid w:val="00C72A59"/>
    <w:rsid w:val="00C73AF0"/>
    <w:rsid w:val="00C74400"/>
    <w:rsid w:val="00C74B93"/>
    <w:rsid w:val="00C75063"/>
    <w:rsid w:val="00C76291"/>
    <w:rsid w:val="00C77394"/>
    <w:rsid w:val="00C779B7"/>
    <w:rsid w:val="00C802FD"/>
    <w:rsid w:val="00C809B4"/>
    <w:rsid w:val="00C80A07"/>
    <w:rsid w:val="00C80C97"/>
    <w:rsid w:val="00C819AB"/>
    <w:rsid w:val="00C82482"/>
    <w:rsid w:val="00C824D5"/>
    <w:rsid w:val="00C82CA7"/>
    <w:rsid w:val="00C83972"/>
    <w:rsid w:val="00C83ABB"/>
    <w:rsid w:val="00C8403F"/>
    <w:rsid w:val="00C84A5A"/>
    <w:rsid w:val="00C8575C"/>
    <w:rsid w:val="00C869E5"/>
    <w:rsid w:val="00C86B35"/>
    <w:rsid w:val="00C86F24"/>
    <w:rsid w:val="00C86F50"/>
    <w:rsid w:val="00C876C4"/>
    <w:rsid w:val="00C90DBC"/>
    <w:rsid w:val="00C91297"/>
    <w:rsid w:val="00C920CD"/>
    <w:rsid w:val="00C92397"/>
    <w:rsid w:val="00C93B80"/>
    <w:rsid w:val="00C94171"/>
    <w:rsid w:val="00C94D5A"/>
    <w:rsid w:val="00C972B9"/>
    <w:rsid w:val="00C97934"/>
    <w:rsid w:val="00CA080B"/>
    <w:rsid w:val="00CA0B36"/>
    <w:rsid w:val="00CA0C68"/>
    <w:rsid w:val="00CA1B88"/>
    <w:rsid w:val="00CA2021"/>
    <w:rsid w:val="00CA2CAA"/>
    <w:rsid w:val="00CA2D32"/>
    <w:rsid w:val="00CA30C1"/>
    <w:rsid w:val="00CA4984"/>
    <w:rsid w:val="00CA6019"/>
    <w:rsid w:val="00CA6312"/>
    <w:rsid w:val="00CA6619"/>
    <w:rsid w:val="00CA75A8"/>
    <w:rsid w:val="00CA7E5A"/>
    <w:rsid w:val="00CB0EB9"/>
    <w:rsid w:val="00CB1840"/>
    <w:rsid w:val="00CB1881"/>
    <w:rsid w:val="00CB1E65"/>
    <w:rsid w:val="00CB2362"/>
    <w:rsid w:val="00CB2C09"/>
    <w:rsid w:val="00CB2EA3"/>
    <w:rsid w:val="00CB38AE"/>
    <w:rsid w:val="00CB39C0"/>
    <w:rsid w:val="00CB430C"/>
    <w:rsid w:val="00CB4FE1"/>
    <w:rsid w:val="00CB5FBD"/>
    <w:rsid w:val="00CB66EE"/>
    <w:rsid w:val="00CC0799"/>
    <w:rsid w:val="00CC10B1"/>
    <w:rsid w:val="00CC160B"/>
    <w:rsid w:val="00CC1D31"/>
    <w:rsid w:val="00CC228B"/>
    <w:rsid w:val="00CC25DC"/>
    <w:rsid w:val="00CC2C60"/>
    <w:rsid w:val="00CC305A"/>
    <w:rsid w:val="00CC4392"/>
    <w:rsid w:val="00CC4B04"/>
    <w:rsid w:val="00CC5604"/>
    <w:rsid w:val="00CC5763"/>
    <w:rsid w:val="00CC58C5"/>
    <w:rsid w:val="00CC59F2"/>
    <w:rsid w:val="00CC5CC2"/>
    <w:rsid w:val="00CC6136"/>
    <w:rsid w:val="00CC63D8"/>
    <w:rsid w:val="00CC68D1"/>
    <w:rsid w:val="00CC707A"/>
    <w:rsid w:val="00CC70AA"/>
    <w:rsid w:val="00CC73F1"/>
    <w:rsid w:val="00CC7ED6"/>
    <w:rsid w:val="00CD0023"/>
    <w:rsid w:val="00CD0183"/>
    <w:rsid w:val="00CD0C4D"/>
    <w:rsid w:val="00CD1668"/>
    <w:rsid w:val="00CD1D84"/>
    <w:rsid w:val="00CD1F55"/>
    <w:rsid w:val="00CD29AB"/>
    <w:rsid w:val="00CD2E70"/>
    <w:rsid w:val="00CD3903"/>
    <w:rsid w:val="00CD3EEB"/>
    <w:rsid w:val="00CD4593"/>
    <w:rsid w:val="00CD46AC"/>
    <w:rsid w:val="00CD4746"/>
    <w:rsid w:val="00CD53C4"/>
    <w:rsid w:val="00CD5F13"/>
    <w:rsid w:val="00CD6C5A"/>
    <w:rsid w:val="00CD6E0E"/>
    <w:rsid w:val="00CD7269"/>
    <w:rsid w:val="00CD73BC"/>
    <w:rsid w:val="00CD7407"/>
    <w:rsid w:val="00CD7B6B"/>
    <w:rsid w:val="00CE1127"/>
    <w:rsid w:val="00CE16BA"/>
    <w:rsid w:val="00CE1D5C"/>
    <w:rsid w:val="00CE1E1F"/>
    <w:rsid w:val="00CE31ED"/>
    <w:rsid w:val="00CE3451"/>
    <w:rsid w:val="00CE3A21"/>
    <w:rsid w:val="00CE436D"/>
    <w:rsid w:val="00CE586A"/>
    <w:rsid w:val="00CE5D55"/>
    <w:rsid w:val="00CE67F0"/>
    <w:rsid w:val="00CE6A63"/>
    <w:rsid w:val="00CE6EB6"/>
    <w:rsid w:val="00CF02BC"/>
    <w:rsid w:val="00CF074E"/>
    <w:rsid w:val="00CF0BA8"/>
    <w:rsid w:val="00CF1135"/>
    <w:rsid w:val="00CF1420"/>
    <w:rsid w:val="00CF1E2A"/>
    <w:rsid w:val="00CF2BF4"/>
    <w:rsid w:val="00CF3398"/>
    <w:rsid w:val="00CF37EC"/>
    <w:rsid w:val="00CF3B53"/>
    <w:rsid w:val="00CF5830"/>
    <w:rsid w:val="00CF65F2"/>
    <w:rsid w:val="00CF6C09"/>
    <w:rsid w:val="00CF782A"/>
    <w:rsid w:val="00CF7C68"/>
    <w:rsid w:val="00D00004"/>
    <w:rsid w:val="00D00AE3"/>
    <w:rsid w:val="00D00DD1"/>
    <w:rsid w:val="00D0166A"/>
    <w:rsid w:val="00D0251E"/>
    <w:rsid w:val="00D032B5"/>
    <w:rsid w:val="00D037DF"/>
    <w:rsid w:val="00D0389B"/>
    <w:rsid w:val="00D03B05"/>
    <w:rsid w:val="00D03C65"/>
    <w:rsid w:val="00D03F73"/>
    <w:rsid w:val="00D055E5"/>
    <w:rsid w:val="00D05A55"/>
    <w:rsid w:val="00D06A84"/>
    <w:rsid w:val="00D07EB2"/>
    <w:rsid w:val="00D07EFD"/>
    <w:rsid w:val="00D102A6"/>
    <w:rsid w:val="00D10582"/>
    <w:rsid w:val="00D105F8"/>
    <w:rsid w:val="00D10A98"/>
    <w:rsid w:val="00D10DFC"/>
    <w:rsid w:val="00D10E7B"/>
    <w:rsid w:val="00D111E8"/>
    <w:rsid w:val="00D115DF"/>
    <w:rsid w:val="00D11707"/>
    <w:rsid w:val="00D121DA"/>
    <w:rsid w:val="00D12549"/>
    <w:rsid w:val="00D125CF"/>
    <w:rsid w:val="00D12B47"/>
    <w:rsid w:val="00D13959"/>
    <w:rsid w:val="00D140C9"/>
    <w:rsid w:val="00D14F98"/>
    <w:rsid w:val="00D153C2"/>
    <w:rsid w:val="00D1605B"/>
    <w:rsid w:val="00D17072"/>
    <w:rsid w:val="00D17244"/>
    <w:rsid w:val="00D17811"/>
    <w:rsid w:val="00D17ACF"/>
    <w:rsid w:val="00D2049F"/>
    <w:rsid w:val="00D212DD"/>
    <w:rsid w:val="00D212E1"/>
    <w:rsid w:val="00D22145"/>
    <w:rsid w:val="00D23794"/>
    <w:rsid w:val="00D248D3"/>
    <w:rsid w:val="00D25480"/>
    <w:rsid w:val="00D2670A"/>
    <w:rsid w:val="00D2686F"/>
    <w:rsid w:val="00D26AC8"/>
    <w:rsid w:val="00D26D7D"/>
    <w:rsid w:val="00D27BA5"/>
    <w:rsid w:val="00D30371"/>
    <w:rsid w:val="00D306DC"/>
    <w:rsid w:val="00D3073F"/>
    <w:rsid w:val="00D30C72"/>
    <w:rsid w:val="00D313B2"/>
    <w:rsid w:val="00D322DC"/>
    <w:rsid w:val="00D32AE1"/>
    <w:rsid w:val="00D332B3"/>
    <w:rsid w:val="00D3378D"/>
    <w:rsid w:val="00D338A7"/>
    <w:rsid w:val="00D340C4"/>
    <w:rsid w:val="00D340FA"/>
    <w:rsid w:val="00D3438E"/>
    <w:rsid w:val="00D35DCA"/>
    <w:rsid w:val="00D35E76"/>
    <w:rsid w:val="00D36506"/>
    <w:rsid w:val="00D372E4"/>
    <w:rsid w:val="00D3763B"/>
    <w:rsid w:val="00D377AE"/>
    <w:rsid w:val="00D40E02"/>
    <w:rsid w:val="00D410C5"/>
    <w:rsid w:val="00D4123E"/>
    <w:rsid w:val="00D4175F"/>
    <w:rsid w:val="00D4187B"/>
    <w:rsid w:val="00D427EE"/>
    <w:rsid w:val="00D43B38"/>
    <w:rsid w:val="00D443B4"/>
    <w:rsid w:val="00D44C90"/>
    <w:rsid w:val="00D44CA5"/>
    <w:rsid w:val="00D452F4"/>
    <w:rsid w:val="00D4544E"/>
    <w:rsid w:val="00D45821"/>
    <w:rsid w:val="00D45BBE"/>
    <w:rsid w:val="00D467B3"/>
    <w:rsid w:val="00D47020"/>
    <w:rsid w:val="00D4759C"/>
    <w:rsid w:val="00D4767B"/>
    <w:rsid w:val="00D47799"/>
    <w:rsid w:val="00D47906"/>
    <w:rsid w:val="00D47A92"/>
    <w:rsid w:val="00D47DF9"/>
    <w:rsid w:val="00D5151D"/>
    <w:rsid w:val="00D51671"/>
    <w:rsid w:val="00D51733"/>
    <w:rsid w:val="00D51C88"/>
    <w:rsid w:val="00D51D7A"/>
    <w:rsid w:val="00D521FF"/>
    <w:rsid w:val="00D52356"/>
    <w:rsid w:val="00D52DF2"/>
    <w:rsid w:val="00D541D1"/>
    <w:rsid w:val="00D5448A"/>
    <w:rsid w:val="00D54DB9"/>
    <w:rsid w:val="00D5512D"/>
    <w:rsid w:val="00D5523E"/>
    <w:rsid w:val="00D553DF"/>
    <w:rsid w:val="00D55764"/>
    <w:rsid w:val="00D55845"/>
    <w:rsid w:val="00D56740"/>
    <w:rsid w:val="00D5682C"/>
    <w:rsid w:val="00D56F86"/>
    <w:rsid w:val="00D574A9"/>
    <w:rsid w:val="00D576F6"/>
    <w:rsid w:val="00D61A5D"/>
    <w:rsid w:val="00D61CB5"/>
    <w:rsid w:val="00D6207D"/>
    <w:rsid w:val="00D622FA"/>
    <w:rsid w:val="00D626F8"/>
    <w:rsid w:val="00D627A2"/>
    <w:rsid w:val="00D62AB3"/>
    <w:rsid w:val="00D63671"/>
    <w:rsid w:val="00D645B8"/>
    <w:rsid w:val="00D64C63"/>
    <w:rsid w:val="00D65257"/>
    <w:rsid w:val="00D65580"/>
    <w:rsid w:val="00D65967"/>
    <w:rsid w:val="00D65B7D"/>
    <w:rsid w:val="00D66047"/>
    <w:rsid w:val="00D6637B"/>
    <w:rsid w:val="00D665F8"/>
    <w:rsid w:val="00D67516"/>
    <w:rsid w:val="00D706F9"/>
    <w:rsid w:val="00D70D7B"/>
    <w:rsid w:val="00D71799"/>
    <w:rsid w:val="00D71806"/>
    <w:rsid w:val="00D721CD"/>
    <w:rsid w:val="00D72A1B"/>
    <w:rsid w:val="00D72ADE"/>
    <w:rsid w:val="00D731D0"/>
    <w:rsid w:val="00D7428D"/>
    <w:rsid w:val="00D74849"/>
    <w:rsid w:val="00D749C2"/>
    <w:rsid w:val="00D74B34"/>
    <w:rsid w:val="00D75151"/>
    <w:rsid w:val="00D75D38"/>
    <w:rsid w:val="00D765F7"/>
    <w:rsid w:val="00D774A5"/>
    <w:rsid w:val="00D80723"/>
    <w:rsid w:val="00D80B1A"/>
    <w:rsid w:val="00D81FED"/>
    <w:rsid w:val="00D8220F"/>
    <w:rsid w:val="00D82F60"/>
    <w:rsid w:val="00D83528"/>
    <w:rsid w:val="00D836A3"/>
    <w:rsid w:val="00D84E51"/>
    <w:rsid w:val="00D85366"/>
    <w:rsid w:val="00D86040"/>
    <w:rsid w:val="00D861AA"/>
    <w:rsid w:val="00D865A9"/>
    <w:rsid w:val="00D87124"/>
    <w:rsid w:val="00D873CA"/>
    <w:rsid w:val="00D87534"/>
    <w:rsid w:val="00D87B0A"/>
    <w:rsid w:val="00D90D32"/>
    <w:rsid w:val="00D91FF2"/>
    <w:rsid w:val="00D92FE5"/>
    <w:rsid w:val="00D93044"/>
    <w:rsid w:val="00D93AEE"/>
    <w:rsid w:val="00D93F3A"/>
    <w:rsid w:val="00D940A7"/>
    <w:rsid w:val="00D94267"/>
    <w:rsid w:val="00D942F7"/>
    <w:rsid w:val="00D94338"/>
    <w:rsid w:val="00D94B68"/>
    <w:rsid w:val="00D9532F"/>
    <w:rsid w:val="00D975BC"/>
    <w:rsid w:val="00D97C79"/>
    <w:rsid w:val="00D97E94"/>
    <w:rsid w:val="00DA0632"/>
    <w:rsid w:val="00DA11A9"/>
    <w:rsid w:val="00DA124B"/>
    <w:rsid w:val="00DA1680"/>
    <w:rsid w:val="00DA1B45"/>
    <w:rsid w:val="00DA1CCB"/>
    <w:rsid w:val="00DA1D7E"/>
    <w:rsid w:val="00DA2E5D"/>
    <w:rsid w:val="00DA2F6C"/>
    <w:rsid w:val="00DA3184"/>
    <w:rsid w:val="00DA40D0"/>
    <w:rsid w:val="00DA4131"/>
    <w:rsid w:val="00DA4518"/>
    <w:rsid w:val="00DA5931"/>
    <w:rsid w:val="00DA5D34"/>
    <w:rsid w:val="00DA68BC"/>
    <w:rsid w:val="00DA6DD7"/>
    <w:rsid w:val="00DA74D4"/>
    <w:rsid w:val="00DA7757"/>
    <w:rsid w:val="00DA7D0B"/>
    <w:rsid w:val="00DA7E1B"/>
    <w:rsid w:val="00DB07FE"/>
    <w:rsid w:val="00DB0BF3"/>
    <w:rsid w:val="00DB1634"/>
    <w:rsid w:val="00DB1E4B"/>
    <w:rsid w:val="00DB26EB"/>
    <w:rsid w:val="00DB2810"/>
    <w:rsid w:val="00DB2DDD"/>
    <w:rsid w:val="00DB332A"/>
    <w:rsid w:val="00DB3552"/>
    <w:rsid w:val="00DB44FC"/>
    <w:rsid w:val="00DB4B26"/>
    <w:rsid w:val="00DB4D59"/>
    <w:rsid w:val="00DB4FCE"/>
    <w:rsid w:val="00DB5545"/>
    <w:rsid w:val="00DB5871"/>
    <w:rsid w:val="00DB610B"/>
    <w:rsid w:val="00DB6262"/>
    <w:rsid w:val="00DB634A"/>
    <w:rsid w:val="00DB7753"/>
    <w:rsid w:val="00DB7C37"/>
    <w:rsid w:val="00DB7E74"/>
    <w:rsid w:val="00DC03EE"/>
    <w:rsid w:val="00DC1869"/>
    <w:rsid w:val="00DC3071"/>
    <w:rsid w:val="00DC334B"/>
    <w:rsid w:val="00DC3C12"/>
    <w:rsid w:val="00DC4493"/>
    <w:rsid w:val="00DC4A10"/>
    <w:rsid w:val="00DC4F1D"/>
    <w:rsid w:val="00DC65D1"/>
    <w:rsid w:val="00DC7919"/>
    <w:rsid w:val="00DC7BC6"/>
    <w:rsid w:val="00DD08C7"/>
    <w:rsid w:val="00DD0A16"/>
    <w:rsid w:val="00DD1256"/>
    <w:rsid w:val="00DD24D1"/>
    <w:rsid w:val="00DD2828"/>
    <w:rsid w:val="00DD2B0F"/>
    <w:rsid w:val="00DD2E01"/>
    <w:rsid w:val="00DD2E7A"/>
    <w:rsid w:val="00DD3AA5"/>
    <w:rsid w:val="00DD492B"/>
    <w:rsid w:val="00DD56D2"/>
    <w:rsid w:val="00DD5DA1"/>
    <w:rsid w:val="00DD6220"/>
    <w:rsid w:val="00DD651A"/>
    <w:rsid w:val="00DD7276"/>
    <w:rsid w:val="00DD786F"/>
    <w:rsid w:val="00DD79A4"/>
    <w:rsid w:val="00DE06EF"/>
    <w:rsid w:val="00DE0828"/>
    <w:rsid w:val="00DE1907"/>
    <w:rsid w:val="00DE1DFC"/>
    <w:rsid w:val="00DE23DC"/>
    <w:rsid w:val="00DE26B3"/>
    <w:rsid w:val="00DE2B11"/>
    <w:rsid w:val="00DE34FB"/>
    <w:rsid w:val="00DE3CE2"/>
    <w:rsid w:val="00DE40E8"/>
    <w:rsid w:val="00DE4E02"/>
    <w:rsid w:val="00DE53CF"/>
    <w:rsid w:val="00DE67FE"/>
    <w:rsid w:val="00DE682E"/>
    <w:rsid w:val="00DE6875"/>
    <w:rsid w:val="00DE7389"/>
    <w:rsid w:val="00DE74E6"/>
    <w:rsid w:val="00DF037E"/>
    <w:rsid w:val="00DF0494"/>
    <w:rsid w:val="00DF137C"/>
    <w:rsid w:val="00DF16E2"/>
    <w:rsid w:val="00DF1753"/>
    <w:rsid w:val="00DF3313"/>
    <w:rsid w:val="00DF3A1C"/>
    <w:rsid w:val="00DF3D59"/>
    <w:rsid w:val="00DF3E83"/>
    <w:rsid w:val="00DF44B9"/>
    <w:rsid w:val="00DF4EF0"/>
    <w:rsid w:val="00DF574F"/>
    <w:rsid w:val="00DF6E96"/>
    <w:rsid w:val="00DF7BA3"/>
    <w:rsid w:val="00E00191"/>
    <w:rsid w:val="00E0038D"/>
    <w:rsid w:val="00E00EB1"/>
    <w:rsid w:val="00E00F6A"/>
    <w:rsid w:val="00E015AE"/>
    <w:rsid w:val="00E01C6A"/>
    <w:rsid w:val="00E0388F"/>
    <w:rsid w:val="00E04B12"/>
    <w:rsid w:val="00E056E2"/>
    <w:rsid w:val="00E06518"/>
    <w:rsid w:val="00E06B0C"/>
    <w:rsid w:val="00E06B25"/>
    <w:rsid w:val="00E07202"/>
    <w:rsid w:val="00E07808"/>
    <w:rsid w:val="00E07CE6"/>
    <w:rsid w:val="00E1189A"/>
    <w:rsid w:val="00E12AEE"/>
    <w:rsid w:val="00E14A88"/>
    <w:rsid w:val="00E1565B"/>
    <w:rsid w:val="00E15A27"/>
    <w:rsid w:val="00E15A8A"/>
    <w:rsid w:val="00E165DE"/>
    <w:rsid w:val="00E167E3"/>
    <w:rsid w:val="00E16BCA"/>
    <w:rsid w:val="00E16F10"/>
    <w:rsid w:val="00E1724E"/>
    <w:rsid w:val="00E22E9C"/>
    <w:rsid w:val="00E240C7"/>
    <w:rsid w:val="00E24136"/>
    <w:rsid w:val="00E24A5D"/>
    <w:rsid w:val="00E25C6F"/>
    <w:rsid w:val="00E25DC5"/>
    <w:rsid w:val="00E25FD6"/>
    <w:rsid w:val="00E262F1"/>
    <w:rsid w:val="00E26655"/>
    <w:rsid w:val="00E26C36"/>
    <w:rsid w:val="00E27651"/>
    <w:rsid w:val="00E27868"/>
    <w:rsid w:val="00E30202"/>
    <w:rsid w:val="00E306E6"/>
    <w:rsid w:val="00E31045"/>
    <w:rsid w:val="00E324E4"/>
    <w:rsid w:val="00E32BF7"/>
    <w:rsid w:val="00E33948"/>
    <w:rsid w:val="00E33E71"/>
    <w:rsid w:val="00E35B2B"/>
    <w:rsid w:val="00E35C32"/>
    <w:rsid w:val="00E35F16"/>
    <w:rsid w:val="00E36619"/>
    <w:rsid w:val="00E3694F"/>
    <w:rsid w:val="00E36E0A"/>
    <w:rsid w:val="00E370C9"/>
    <w:rsid w:val="00E37B9C"/>
    <w:rsid w:val="00E37C17"/>
    <w:rsid w:val="00E37EFC"/>
    <w:rsid w:val="00E37F9D"/>
    <w:rsid w:val="00E40E84"/>
    <w:rsid w:val="00E40F38"/>
    <w:rsid w:val="00E41698"/>
    <w:rsid w:val="00E41F51"/>
    <w:rsid w:val="00E423AA"/>
    <w:rsid w:val="00E42532"/>
    <w:rsid w:val="00E42D96"/>
    <w:rsid w:val="00E43593"/>
    <w:rsid w:val="00E4373D"/>
    <w:rsid w:val="00E43940"/>
    <w:rsid w:val="00E441B1"/>
    <w:rsid w:val="00E44E5F"/>
    <w:rsid w:val="00E44FF7"/>
    <w:rsid w:val="00E45525"/>
    <w:rsid w:val="00E45977"/>
    <w:rsid w:val="00E45A13"/>
    <w:rsid w:val="00E45C49"/>
    <w:rsid w:val="00E45F52"/>
    <w:rsid w:val="00E46087"/>
    <w:rsid w:val="00E464EE"/>
    <w:rsid w:val="00E46781"/>
    <w:rsid w:val="00E4707D"/>
    <w:rsid w:val="00E473CD"/>
    <w:rsid w:val="00E47801"/>
    <w:rsid w:val="00E4799D"/>
    <w:rsid w:val="00E47B0E"/>
    <w:rsid w:val="00E5068A"/>
    <w:rsid w:val="00E51568"/>
    <w:rsid w:val="00E51C8E"/>
    <w:rsid w:val="00E535EF"/>
    <w:rsid w:val="00E53601"/>
    <w:rsid w:val="00E53D41"/>
    <w:rsid w:val="00E53F2F"/>
    <w:rsid w:val="00E54B4F"/>
    <w:rsid w:val="00E54E05"/>
    <w:rsid w:val="00E56B86"/>
    <w:rsid w:val="00E5737A"/>
    <w:rsid w:val="00E5747F"/>
    <w:rsid w:val="00E57BDC"/>
    <w:rsid w:val="00E57BDE"/>
    <w:rsid w:val="00E60C17"/>
    <w:rsid w:val="00E61E51"/>
    <w:rsid w:val="00E620DE"/>
    <w:rsid w:val="00E6218A"/>
    <w:rsid w:val="00E62990"/>
    <w:rsid w:val="00E62F69"/>
    <w:rsid w:val="00E63884"/>
    <w:rsid w:val="00E63996"/>
    <w:rsid w:val="00E63BD0"/>
    <w:rsid w:val="00E63ECA"/>
    <w:rsid w:val="00E64291"/>
    <w:rsid w:val="00E667C8"/>
    <w:rsid w:val="00E66829"/>
    <w:rsid w:val="00E66D15"/>
    <w:rsid w:val="00E66F5E"/>
    <w:rsid w:val="00E676EF"/>
    <w:rsid w:val="00E67C7E"/>
    <w:rsid w:val="00E71492"/>
    <w:rsid w:val="00E71615"/>
    <w:rsid w:val="00E71A95"/>
    <w:rsid w:val="00E71E44"/>
    <w:rsid w:val="00E72BFE"/>
    <w:rsid w:val="00E730FD"/>
    <w:rsid w:val="00E73115"/>
    <w:rsid w:val="00E735C6"/>
    <w:rsid w:val="00E742BB"/>
    <w:rsid w:val="00E7558A"/>
    <w:rsid w:val="00E75A23"/>
    <w:rsid w:val="00E771A0"/>
    <w:rsid w:val="00E7731E"/>
    <w:rsid w:val="00E77D65"/>
    <w:rsid w:val="00E8020D"/>
    <w:rsid w:val="00E80B68"/>
    <w:rsid w:val="00E81156"/>
    <w:rsid w:val="00E81545"/>
    <w:rsid w:val="00E816AF"/>
    <w:rsid w:val="00E816F8"/>
    <w:rsid w:val="00E81938"/>
    <w:rsid w:val="00E819AC"/>
    <w:rsid w:val="00E820CF"/>
    <w:rsid w:val="00E836D1"/>
    <w:rsid w:val="00E83A5B"/>
    <w:rsid w:val="00E84679"/>
    <w:rsid w:val="00E849D9"/>
    <w:rsid w:val="00E849EE"/>
    <w:rsid w:val="00E84DDA"/>
    <w:rsid w:val="00E854BC"/>
    <w:rsid w:val="00E85DFB"/>
    <w:rsid w:val="00E8784B"/>
    <w:rsid w:val="00E907E3"/>
    <w:rsid w:val="00E90D47"/>
    <w:rsid w:val="00E91146"/>
    <w:rsid w:val="00E9120B"/>
    <w:rsid w:val="00E91D50"/>
    <w:rsid w:val="00E91D51"/>
    <w:rsid w:val="00E91F27"/>
    <w:rsid w:val="00E9266F"/>
    <w:rsid w:val="00E92E23"/>
    <w:rsid w:val="00E93AA9"/>
    <w:rsid w:val="00E9428A"/>
    <w:rsid w:val="00E94C14"/>
    <w:rsid w:val="00E94CC2"/>
    <w:rsid w:val="00E9501C"/>
    <w:rsid w:val="00E9569E"/>
    <w:rsid w:val="00E962FA"/>
    <w:rsid w:val="00E963F4"/>
    <w:rsid w:val="00E96670"/>
    <w:rsid w:val="00E96726"/>
    <w:rsid w:val="00E96959"/>
    <w:rsid w:val="00E975E8"/>
    <w:rsid w:val="00EA02AC"/>
    <w:rsid w:val="00EA0693"/>
    <w:rsid w:val="00EA0D22"/>
    <w:rsid w:val="00EA159E"/>
    <w:rsid w:val="00EA2114"/>
    <w:rsid w:val="00EA28E1"/>
    <w:rsid w:val="00EA2978"/>
    <w:rsid w:val="00EA2F15"/>
    <w:rsid w:val="00EA3409"/>
    <w:rsid w:val="00EA42C2"/>
    <w:rsid w:val="00EA4A5F"/>
    <w:rsid w:val="00EA4CBF"/>
    <w:rsid w:val="00EA7067"/>
    <w:rsid w:val="00EA76DD"/>
    <w:rsid w:val="00EA7E09"/>
    <w:rsid w:val="00EB0376"/>
    <w:rsid w:val="00EB0521"/>
    <w:rsid w:val="00EB1044"/>
    <w:rsid w:val="00EB1083"/>
    <w:rsid w:val="00EB10CB"/>
    <w:rsid w:val="00EB1425"/>
    <w:rsid w:val="00EB2981"/>
    <w:rsid w:val="00EB40D3"/>
    <w:rsid w:val="00EB43B3"/>
    <w:rsid w:val="00EB6DD3"/>
    <w:rsid w:val="00EB6FD3"/>
    <w:rsid w:val="00EB7552"/>
    <w:rsid w:val="00EB7804"/>
    <w:rsid w:val="00EB7ED7"/>
    <w:rsid w:val="00EC010B"/>
    <w:rsid w:val="00EC0AE2"/>
    <w:rsid w:val="00EC0DB8"/>
    <w:rsid w:val="00EC0FCF"/>
    <w:rsid w:val="00EC10AD"/>
    <w:rsid w:val="00EC178A"/>
    <w:rsid w:val="00EC1D4C"/>
    <w:rsid w:val="00EC2D06"/>
    <w:rsid w:val="00EC3A05"/>
    <w:rsid w:val="00EC46AF"/>
    <w:rsid w:val="00EC5374"/>
    <w:rsid w:val="00EC5965"/>
    <w:rsid w:val="00EC5F43"/>
    <w:rsid w:val="00EC702D"/>
    <w:rsid w:val="00EC73EB"/>
    <w:rsid w:val="00EC7C09"/>
    <w:rsid w:val="00ED0623"/>
    <w:rsid w:val="00ED1BBC"/>
    <w:rsid w:val="00ED3BB9"/>
    <w:rsid w:val="00ED587F"/>
    <w:rsid w:val="00ED5E8F"/>
    <w:rsid w:val="00ED602B"/>
    <w:rsid w:val="00ED6470"/>
    <w:rsid w:val="00ED762F"/>
    <w:rsid w:val="00EE035E"/>
    <w:rsid w:val="00EE03F5"/>
    <w:rsid w:val="00EE107F"/>
    <w:rsid w:val="00EE18F7"/>
    <w:rsid w:val="00EE1B6A"/>
    <w:rsid w:val="00EE203D"/>
    <w:rsid w:val="00EE255A"/>
    <w:rsid w:val="00EE2878"/>
    <w:rsid w:val="00EE311D"/>
    <w:rsid w:val="00EE4F5A"/>
    <w:rsid w:val="00EE597E"/>
    <w:rsid w:val="00EE5D7D"/>
    <w:rsid w:val="00EE5F12"/>
    <w:rsid w:val="00EE6B6C"/>
    <w:rsid w:val="00EE75CC"/>
    <w:rsid w:val="00EE7738"/>
    <w:rsid w:val="00EE7DD5"/>
    <w:rsid w:val="00EF0060"/>
    <w:rsid w:val="00EF096C"/>
    <w:rsid w:val="00EF15A1"/>
    <w:rsid w:val="00EF211F"/>
    <w:rsid w:val="00EF3B1F"/>
    <w:rsid w:val="00EF41E9"/>
    <w:rsid w:val="00EF4AE1"/>
    <w:rsid w:val="00EF4D07"/>
    <w:rsid w:val="00EF5CAE"/>
    <w:rsid w:val="00EF6138"/>
    <w:rsid w:val="00EF6906"/>
    <w:rsid w:val="00EF6A4B"/>
    <w:rsid w:val="00EF6C6A"/>
    <w:rsid w:val="00EF7FE5"/>
    <w:rsid w:val="00F00B36"/>
    <w:rsid w:val="00F01708"/>
    <w:rsid w:val="00F024BA"/>
    <w:rsid w:val="00F03712"/>
    <w:rsid w:val="00F03770"/>
    <w:rsid w:val="00F03A94"/>
    <w:rsid w:val="00F03D1A"/>
    <w:rsid w:val="00F04FBB"/>
    <w:rsid w:val="00F05523"/>
    <w:rsid w:val="00F05812"/>
    <w:rsid w:val="00F05AB7"/>
    <w:rsid w:val="00F06727"/>
    <w:rsid w:val="00F06B35"/>
    <w:rsid w:val="00F07A58"/>
    <w:rsid w:val="00F07C1D"/>
    <w:rsid w:val="00F07CF4"/>
    <w:rsid w:val="00F10C1A"/>
    <w:rsid w:val="00F11225"/>
    <w:rsid w:val="00F11611"/>
    <w:rsid w:val="00F119EE"/>
    <w:rsid w:val="00F11CFB"/>
    <w:rsid w:val="00F11DCF"/>
    <w:rsid w:val="00F1201A"/>
    <w:rsid w:val="00F12623"/>
    <w:rsid w:val="00F12654"/>
    <w:rsid w:val="00F12A92"/>
    <w:rsid w:val="00F12FF6"/>
    <w:rsid w:val="00F13D9D"/>
    <w:rsid w:val="00F14DFC"/>
    <w:rsid w:val="00F15635"/>
    <w:rsid w:val="00F15DCA"/>
    <w:rsid w:val="00F16DB9"/>
    <w:rsid w:val="00F17BEF"/>
    <w:rsid w:val="00F204D6"/>
    <w:rsid w:val="00F220D2"/>
    <w:rsid w:val="00F22730"/>
    <w:rsid w:val="00F22828"/>
    <w:rsid w:val="00F2283B"/>
    <w:rsid w:val="00F241AC"/>
    <w:rsid w:val="00F242E4"/>
    <w:rsid w:val="00F2440E"/>
    <w:rsid w:val="00F24B3D"/>
    <w:rsid w:val="00F25190"/>
    <w:rsid w:val="00F25C42"/>
    <w:rsid w:val="00F25D36"/>
    <w:rsid w:val="00F25EBF"/>
    <w:rsid w:val="00F25F4F"/>
    <w:rsid w:val="00F275E1"/>
    <w:rsid w:val="00F27FF8"/>
    <w:rsid w:val="00F3060C"/>
    <w:rsid w:val="00F312D2"/>
    <w:rsid w:val="00F31ADE"/>
    <w:rsid w:val="00F31B3A"/>
    <w:rsid w:val="00F31C07"/>
    <w:rsid w:val="00F31F79"/>
    <w:rsid w:val="00F333BB"/>
    <w:rsid w:val="00F34232"/>
    <w:rsid w:val="00F34505"/>
    <w:rsid w:val="00F34615"/>
    <w:rsid w:val="00F34949"/>
    <w:rsid w:val="00F34C3C"/>
    <w:rsid w:val="00F353EE"/>
    <w:rsid w:val="00F3567C"/>
    <w:rsid w:val="00F36B71"/>
    <w:rsid w:val="00F402C3"/>
    <w:rsid w:val="00F40B8D"/>
    <w:rsid w:val="00F40E2A"/>
    <w:rsid w:val="00F41801"/>
    <w:rsid w:val="00F4194B"/>
    <w:rsid w:val="00F41D90"/>
    <w:rsid w:val="00F42189"/>
    <w:rsid w:val="00F42C67"/>
    <w:rsid w:val="00F4318D"/>
    <w:rsid w:val="00F43E44"/>
    <w:rsid w:val="00F43FC3"/>
    <w:rsid w:val="00F43FDE"/>
    <w:rsid w:val="00F442AC"/>
    <w:rsid w:val="00F44664"/>
    <w:rsid w:val="00F45CFF"/>
    <w:rsid w:val="00F46271"/>
    <w:rsid w:val="00F46612"/>
    <w:rsid w:val="00F47601"/>
    <w:rsid w:val="00F47EDE"/>
    <w:rsid w:val="00F501C0"/>
    <w:rsid w:val="00F517E6"/>
    <w:rsid w:val="00F51C80"/>
    <w:rsid w:val="00F51E7A"/>
    <w:rsid w:val="00F52063"/>
    <w:rsid w:val="00F528D9"/>
    <w:rsid w:val="00F534F3"/>
    <w:rsid w:val="00F55238"/>
    <w:rsid w:val="00F55BD4"/>
    <w:rsid w:val="00F569EB"/>
    <w:rsid w:val="00F56A3E"/>
    <w:rsid w:val="00F56BAD"/>
    <w:rsid w:val="00F56CDD"/>
    <w:rsid w:val="00F572CD"/>
    <w:rsid w:val="00F57661"/>
    <w:rsid w:val="00F57A1B"/>
    <w:rsid w:val="00F61239"/>
    <w:rsid w:val="00F615AB"/>
    <w:rsid w:val="00F640E4"/>
    <w:rsid w:val="00F645C9"/>
    <w:rsid w:val="00F64DAF"/>
    <w:rsid w:val="00F64F30"/>
    <w:rsid w:val="00F64FCE"/>
    <w:rsid w:val="00F64FE9"/>
    <w:rsid w:val="00F65363"/>
    <w:rsid w:val="00F65470"/>
    <w:rsid w:val="00F65A03"/>
    <w:rsid w:val="00F6699E"/>
    <w:rsid w:val="00F66A00"/>
    <w:rsid w:val="00F66B9A"/>
    <w:rsid w:val="00F66EA6"/>
    <w:rsid w:val="00F66F3D"/>
    <w:rsid w:val="00F66FD5"/>
    <w:rsid w:val="00F67C95"/>
    <w:rsid w:val="00F700FE"/>
    <w:rsid w:val="00F7235A"/>
    <w:rsid w:val="00F7264C"/>
    <w:rsid w:val="00F731F7"/>
    <w:rsid w:val="00F7362F"/>
    <w:rsid w:val="00F73B88"/>
    <w:rsid w:val="00F73CAC"/>
    <w:rsid w:val="00F7464F"/>
    <w:rsid w:val="00F759C9"/>
    <w:rsid w:val="00F75DBA"/>
    <w:rsid w:val="00F7622F"/>
    <w:rsid w:val="00F763FF"/>
    <w:rsid w:val="00F76A2D"/>
    <w:rsid w:val="00F77134"/>
    <w:rsid w:val="00F77526"/>
    <w:rsid w:val="00F77C5E"/>
    <w:rsid w:val="00F81D48"/>
    <w:rsid w:val="00F823BF"/>
    <w:rsid w:val="00F83873"/>
    <w:rsid w:val="00F83D7C"/>
    <w:rsid w:val="00F84697"/>
    <w:rsid w:val="00F85A69"/>
    <w:rsid w:val="00F86402"/>
    <w:rsid w:val="00F86994"/>
    <w:rsid w:val="00F86AF8"/>
    <w:rsid w:val="00F871D5"/>
    <w:rsid w:val="00F8730F"/>
    <w:rsid w:val="00F876D1"/>
    <w:rsid w:val="00F87974"/>
    <w:rsid w:val="00F87A75"/>
    <w:rsid w:val="00F90276"/>
    <w:rsid w:val="00F907EB"/>
    <w:rsid w:val="00F90DE7"/>
    <w:rsid w:val="00F90E0D"/>
    <w:rsid w:val="00F9240E"/>
    <w:rsid w:val="00F938F8"/>
    <w:rsid w:val="00F94476"/>
    <w:rsid w:val="00F94A3C"/>
    <w:rsid w:val="00F94FF5"/>
    <w:rsid w:val="00F955B6"/>
    <w:rsid w:val="00F95690"/>
    <w:rsid w:val="00F95A37"/>
    <w:rsid w:val="00F9679A"/>
    <w:rsid w:val="00F97140"/>
    <w:rsid w:val="00FA029B"/>
    <w:rsid w:val="00FA040A"/>
    <w:rsid w:val="00FA1922"/>
    <w:rsid w:val="00FA30B4"/>
    <w:rsid w:val="00FA3726"/>
    <w:rsid w:val="00FA4F82"/>
    <w:rsid w:val="00FA4FF3"/>
    <w:rsid w:val="00FA6E30"/>
    <w:rsid w:val="00FA7232"/>
    <w:rsid w:val="00FA72BA"/>
    <w:rsid w:val="00FA7807"/>
    <w:rsid w:val="00FA7D81"/>
    <w:rsid w:val="00FB09BB"/>
    <w:rsid w:val="00FB2140"/>
    <w:rsid w:val="00FB2613"/>
    <w:rsid w:val="00FB3A63"/>
    <w:rsid w:val="00FB4BBE"/>
    <w:rsid w:val="00FB542D"/>
    <w:rsid w:val="00FB56D7"/>
    <w:rsid w:val="00FB59AF"/>
    <w:rsid w:val="00FB5A60"/>
    <w:rsid w:val="00FB6890"/>
    <w:rsid w:val="00FB767C"/>
    <w:rsid w:val="00FB7AF5"/>
    <w:rsid w:val="00FC0094"/>
    <w:rsid w:val="00FC046B"/>
    <w:rsid w:val="00FC0648"/>
    <w:rsid w:val="00FC0C50"/>
    <w:rsid w:val="00FC1698"/>
    <w:rsid w:val="00FC1846"/>
    <w:rsid w:val="00FC22D9"/>
    <w:rsid w:val="00FC251D"/>
    <w:rsid w:val="00FC2A23"/>
    <w:rsid w:val="00FC2C1D"/>
    <w:rsid w:val="00FC2FD2"/>
    <w:rsid w:val="00FC37A2"/>
    <w:rsid w:val="00FC3E19"/>
    <w:rsid w:val="00FC4734"/>
    <w:rsid w:val="00FC5908"/>
    <w:rsid w:val="00FC5B40"/>
    <w:rsid w:val="00FC5DB5"/>
    <w:rsid w:val="00FC6627"/>
    <w:rsid w:val="00FC67B2"/>
    <w:rsid w:val="00FC6FE4"/>
    <w:rsid w:val="00FD04DA"/>
    <w:rsid w:val="00FD0F51"/>
    <w:rsid w:val="00FD1034"/>
    <w:rsid w:val="00FD11B2"/>
    <w:rsid w:val="00FD12E4"/>
    <w:rsid w:val="00FD16FB"/>
    <w:rsid w:val="00FD1B7F"/>
    <w:rsid w:val="00FD218C"/>
    <w:rsid w:val="00FD374F"/>
    <w:rsid w:val="00FD3759"/>
    <w:rsid w:val="00FD3EDF"/>
    <w:rsid w:val="00FD48C8"/>
    <w:rsid w:val="00FD4FE7"/>
    <w:rsid w:val="00FD563E"/>
    <w:rsid w:val="00FD56CD"/>
    <w:rsid w:val="00FD602A"/>
    <w:rsid w:val="00FD6391"/>
    <w:rsid w:val="00FD730E"/>
    <w:rsid w:val="00FD7B5E"/>
    <w:rsid w:val="00FE01C0"/>
    <w:rsid w:val="00FE01E0"/>
    <w:rsid w:val="00FE0CEC"/>
    <w:rsid w:val="00FE192C"/>
    <w:rsid w:val="00FE280A"/>
    <w:rsid w:val="00FE2CBA"/>
    <w:rsid w:val="00FE448C"/>
    <w:rsid w:val="00FE4686"/>
    <w:rsid w:val="00FE4857"/>
    <w:rsid w:val="00FE49E4"/>
    <w:rsid w:val="00FE526D"/>
    <w:rsid w:val="00FE65C4"/>
    <w:rsid w:val="00FE6B37"/>
    <w:rsid w:val="00FE6EA5"/>
    <w:rsid w:val="00FE756F"/>
    <w:rsid w:val="00FE79A0"/>
    <w:rsid w:val="00FE7DD7"/>
    <w:rsid w:val="00FF09D7"/>
    <w:rsid w:val="00FF199F"/>
    <w:rsid w:val="00FF1BB7"/>
    <w:rsid w:val="00FF1C6B"/>
    <w:rsid w:val="00FF212A"/>
    <w:rsid w:val="00FF2518"/>
    <w:rsid w:val="00FF308F"/>
    <w:rsid w:val="00FF33C0"/>
    <w:rsid w:val="00FF3422"/>
    <w:rsid w:val="00FF3568"/>
    <w:rsid w:val="00FF394A"/>
    <w:rsid w:val="00FF3B4F"/>
    <w:rsid w:val="00FF463C"/>
    <w:rsid w:val="00FF5061"/>
    <w:rsid w:val="00FF52AE"/>
    <w:rsid w:val="00FF532D"/>
    <w:rsid w:val="00FF5DC0"/>
    <w:rsid w:val="00FF687F"/>
    <w:rsid w:val="00FF6A33"/>
    <w:rsid w:val="00FF6C1C"/>
    <w:rsid w:val="00FF7284"/>
    <w:rsid w:val="00FF72A5"/>
    <w:rsid w:val="00FF7D65"/>
    <w:rsid w:val="2B83E68E"/>
    <w:rsid w:val="4F4B5DC6"/>
    <w:rsid w:val="57C5C1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yellow,#a40900,#931823"/>
    </o:shapedefaults>
    <o:shapelayout v:ext="edit">
      <o:idmap v:ext="edit" data="2"/>
    </o:shapelayout>
  </w:shapeDefaults>
  <w:decimalSymbol w:val="."/>
  <w:listSeparator w:val=","/>
  <w14:docId w14:val="7BCE1EB7"/>
  <w15:docId w15:val="{1F5322C8-8B64-480C-AD1B-18DAC0F7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heading 1" w:uiPriority="2" w:qFormat="1"/>
    <w:lsdException w:name="heading 2" w:uiPriority="2" w:qFormat="1"/>
    <w:lsdException w:name="heading 3" w:uiPriority="2"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63333"/>
    <w:rPr>
      <w:rFonts w:eastAsia="Calibri"/>
      <w:sz w:val="24"/>
      <w:szCs w:val="24"/>
    </w:rPr>
  </w:style>
  <w:style w:type="paragraph" w:styleId="Heading1">
    <w:name w:val="heading 1"/>
    <w:next w:val="Heading2"/>
    <w:uiPriority w:val="2"/>
    <w:qFormat/>
    <w:rsid w:val="001846B8"/>
    <w:pPr>
      <w:spacing w:before="120" w:after="240"/>
      <w:outlineLvl w:val="0"/>
    </w:pPr>
    <w:rPr>
      <w:rFonts w:ascii="Arial" w:hAnsi="Arial"/>
      <w:b/>
      <w:color w:val="A6242E"/>
      <w:sz w:val="32"/>
      <w:szCs w:val="40"/>
      <w:lang w:val="en-US" w:eastAsia="en-US"/>
    </w:rPr>
  </w:style>
  <w:style w:type="paragraph" w:styleId="Heading2">
    <w:name w:val="heading 2"/>
    <w:basedOn w:val="Heading1"/>
    <w:next w:val="HeadingLine"/>
    <w:uiPriority w:val="2"/>
    <w:qFormat/>
    <w:rsid w:val="009C29C5"/>
    <w:pPr>
      <w:numPr>
        <w:ilvl w:val="1"/>
      </w:numPr>
      <w:outlineLvl w:val="1"/>
    </w:pPr>
    <w:rPr>
      <w:sz w:val="22"/>
      <w:szCs w:val="32"/>
    </w:rPr>
  </w:style>
  <w:style w:type="paragraph" w:styleId="Heading3">
    <w:name w:val="heading 3"/>
    <w:next w:val="BlockText"/>
    <w:uiPriority w:val="2"/>
    <w:qFormat/>
    <w:rsid w:val="003006A8"/>
    <w:pPr>
      <w:spacing w:before="480" w:after="60"/>
      <w:outlineLvl w:val="2"/>
    </w:pPr>
    <w:rPr>
      <w:rFonts w:ascii="Arial" w:hAnsi="Arial"/>
      <w:b/>
      <w:sz w:val="22"/>
      <w:szCs w:val="32"/>
      <w:lang w:val="en-US" w:eastAsia="en-US"/>
    </w:rPr>
  </w:style>
  <w:style w:type="paragraph" w:styleId="Heading4">
    <w:name w:val="heading 4"/>
    <w:aliases w:val="Map Title"/>
    <w:next w:val="MemoLine"/>
    <w:rsid w:val="008A0BC9"/>
    <w:pPr>
      <w:spacing w:after="240"/>
      <w:outlineLvl w:val="3"/>
    </w:pPr>
    <w:rPr>
      <w:rFonts w:ascii="Arial" w:hAnsi="Arial"/>
      <w:b/>
      <w:sz w:val="32"/>
      <w:lang w:val="en-US" w:eastAsia="en-US"/>
    </w:rPr>
  </w:style>
  <w:style w:type="paragraph" w:styleId="Heading5">
    <w:name w:val="heading 5"/>
    <w:aliases w:val="Block Heading"/>
    <w:next w:val="BlockText"/>
    <w:rsid w:val="00892EF9"/>
    <w:pPr>
      <w:spacing w:after="60"/>
      <w:outlineLvl w:val="4"/>
    </w:pPr>
    <w:rPr>
      <w:rFonts w:asciiTheme="minorHAnsi" w:hAnsiTheme="minorHAnsi"/>
      <w:b/>
      <w:sz w:val="22"/>
      <w:szCs w:val="22"/>
      <w:lang w:val="en-US" w:eastAsia="en-US"/>
    </w:rPr>
  </w:style>
  <w:style w:type="paragraph" w:styleId="Heading6">
    <w:name w:val="heading 6"/>
    <w:basedOn w:val="Normal"/>
    <w:next w:val="Normal"/>
    <w:link w:val="Heading6Char"/>
    <w:semiHidden/>
    <w:unhideWhenUsed/>
    <w:qFormat/>
    <w:rsid w:val="00334C5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43271"/>
    <w:pPr>
      <w:keepNext/>
      <w:keepLines/>
      <w:widowControl w:val="0"/>
      <w:overflowPunct w:val="0"/>
      <w:autoSpaceDE w:val="0"/>
      <w:autoSpaceDN w:val="0"/>
      <w:adjustRightInd w:val="0"/>
      <w:spacing w:before="200"/>
      <w:textAlignment w:val="baseline"/>
      <w:outlineLvl w:val="6"/>
    </w:pPr>
    <w:rPr>
      <w:rFonts w:asciiTheme="majorHAnsi" w:eastAsiaTheme="majorEastAsia" w:hAnsiTheme="majorHAnsi" w:cstheme="majorBidi"/>
      <w:i/>
      <w:iCs/>
      <w:color w:val="404040" w:themeColor="text1" w:themeTint="BF"/>
      <w:szCs w:val="20"/>
      <w:lang w:val="en-GB" w:eastAsia="en-US"/>
    </w:rPr>
  </w:style>
  <w:style w:type="paragraph" w:styleId="Heading8">
    <w:name w:val="heading 8"/>
    <w:basedOn w:val="Normal"/>
    <w:next w:val="Normal"/>
    <w:link w:val="Heading8Char"/>
    <w:unhideWhenUsed/>
    <w:qFormat/>
    <w:rsid w:val="00943271"/>
    <w:pPr>
      <w:keepNext/>
      <w:keepLines/>
      <w:widowControl w:val="0"/>
      <w:overflowPunct w:val="0"/>
      <w:autoSpaceDE w:val="0"/>
      <w:autoSpaceDN w:val="0"/>
      <w:adjustRightInd w:val="0"/>
      <w:spacing w:before="200"/>
      <w:textAlignment w:val="baseline"/>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semiHidden/>
    <w:unhideWhenUsed/>
    <w:qFormat/>
    <w:rsid w:val="00943271"/>
    <w:pPr>
      <w:keepNext/>
      <w:keepLines/>
      <w:widowControl w:val="0"/>
      <w:overflowPunct w:val="0"/>
      <w:autoSpaceDE w:val="0"/>
      <w:autoSpaceDN w:val="0"/>
      <w:adjustRightInd w:val="0"/>
      <w:spacing w:before="200"/>
      <w:textAlignment w:val="baseline"/>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ine">
    <w:name w:val="Heading Line"/>
    <w:next w:val="Heading5"/>
    <w:uiPriority w:val="2"/>
    <w:qFormat/>
    <w:rsid w:val="00A41EE7"/>
    <w:pPr>
      <w:pBdr>
        <w:top w:val="single" w:sz="6" w:space="1" w:color="C0C0C0"/>
        <w:between w:val="single" w:sz="6" w:space="1" w:color="auto"/>
      </w:pBdr>
      <w:spacing w:before="240" w:after="240"/>
      <w:jc w:val="right"/>
    </w:pPr>
    <w:rPr>
      <w:rFonts w:ascii="Arial" w:hAnsi="Arial"/>
      <w:i/>
      <w:color w:val="808080"/>
      <w:sz w:val="18"/>
      <w:lang w:val="en-US" w:eastAsia="en-US"/>
    </w:rPr>
  </w:style>
  <w:style w:type="paragraph" w:styleId="BlockText">
    <w:name w:val="Block Text"/>
    <w:link w:val="BlockTextChar"/>
    <w:qFormat/>
    <w:rsid w:val="00151FC6"/>
    <w:pPr>
      <w:spacing w:before="60" w:after="120"/>
      <w:ind w:left="1588"/>
    </w:pPr>
    <w:rPr>
      <w:rFonts w:ascii="Arial" w:hAnsi="Arial"/>
      <w:lang w:val="en-US" w:eastAsia="en-US"/>
    </w:rPr>
  </w:style>
  <w:style w:type="character" w:customStyle="1" w:styleId="BlockTextChar">
    <w:name w:val="Block Text Char"/>
    <w:basedOn w:val="DefaultParagraphFont"/>
    <w:link w:val="BlockText"/>
    <w:rsid w:val="00151FC6"/>
    <w:rPr>
      <w:rFonts w:ascii="Arial" w:hAnsi="Arial"/>
      <w:lang w:val="en-US" w:eastAsia="en-US"/>
    </w:rPr>
  </w:style>
  <w:style w:type="paragraph" w:customStyle="1" w:styleId="MemoLine">
    <w:name w:val="Memo Line"/>
    <w:next w:val="Heading5"/>
    <w:rsid w:val="00D74CB9"/>
    <w:pPr>
      <w:pBdr>
        <w:top w:val="threeDEngrave" w:sz="24" w:space="1" w:color="C0C0C0"/>
      </w:pBdr>
    </w:pPr>
    <w:rPr>
      <w:rFonts w:ascii="Arial" w:hAnsi="Arial"/>
      <w:i/>
      <w:color w:val="808080"/>
      <w:sz w:val="18"/>
      <w:lang w:val="en-US" w:eastAsia="en-US"/>
    </w:rPr>
  </w:style>
  <w:style w:type="character" w:customStyle="1" w:styleId="Heading6Char">
    <w:name w:val="Heading 6 Char"/>
    <w:basedOn w:val="DefaultParagraphFont"/>
    <w:link w:val="Heading6"/>
    <w:semiHidden/>
    <w:rsid w:val="00334C5C"/>
    <w:rPr>
      <w:rFonts w:asciiTheme="majorHAnsi" w:eastAsiaTheme="majorEastAsia" w:hAnsiTheme="majorHAnsi" w:cstheme="majorBidi"/>
      <w:i/>
      <w:iCs/>
      <w:color w:val="243F60" w:themeColor="accent1" w:themeShade="7F"/>
      <w:sz w:val="24"/>
      <w:szCs w:val="24"/>
    </w:rPr>
  </w:style>
  <w:style w:type="paragraph" w:styleId="Header">
    <w:name w:val="header"/>
    <w:link w:val="HeaderChar"/>
    <w:rsid w:val="000765CD"/>
    <w:pPr>
      <w:tabs>
        <w:tab w:val="center" w:pos="4320"/>
        <w:tab w:val="right" w:pos="8640"/>
      </w:tabs>
      <w:jc w:val="right"/>
    </w:pPr>
    <w:rPr>
      <w:rFonts w:ascii="Arial" w:hAnsi="Arial"/>
      <w:i/>
      <w:sz w:val="18"/>
      <w:lang w:val="en-US" w:eastAsia="en-US"/>
    </w:rPr>
  </w:style>
  <w:style w:type="character" w:customStyle="1" w:styleId="HeaderChar">
    <w:name w:val="Header Char"/>
    <w:basedOn w:val="DefaultParagraphFont"/>
    <w:link w:val="Header"/>
    <w:locked/>
    <w:rsid w:val="00805F0F"/>
    <w:rPr>
      <w:rFonts w:ascii="Arial" w:hAnsi="Arial"/>
      <w:i/>
      <w:sz w:val="18"/>
      <w:lang w:val="en-US" w:eastAsia="en-US" w:bidi="ar-SA"/>
    </w:rPr>
  </w:style>
  <w:style w:type="paragraph" w:customStyle="1" w:styleId="Bullet1">
    <w:name w:val="Bullet 1"/>
    <w:qFormat/>
    <w:rsid w:val="00014F7F"/>
    <w:pPr>
      <w:numPr>
        <w:numId w:val="1"/>
      </w:numPr>
      <w:spacing w:after="60"/>
    </w:pPr>
    <w:rPr>
      <w:rFonts w:ascii="Arial" w:hAnsi="Arial"/>
      <w:lang w:val="en-US" w:eastAsia="en-US"/>
    </w:rPr>
  </w:style>
  <w:style w:type="paragraph" w:customStyle="1" w:styleId="Bullet2">
    <w:name w:val="Bullet 2"/>
    <w:qFormat/>
    <w:rsid w:val="00151FC6"/>
    <w:pPr>
      <w:numPr>
        <w:numId w:val="2"/>
      </w:numPr>
      <w:tabs>
        <w:tab w:val="left" w:pos="550"/>
        <w:tab w:val="left" w:pos="663"/>
        <w:tab w:val="left" w:pos="1418"/>
      </w:tabs>
      <w:spacing w:after="60"/>
    </w:pPr>
    <w:rPr>
      <w:rFonts w:ascii="Arial" w:hAnsi="Arial"/>
      <w:lang w:val="en-US" w:eastAsia="en-US"/>
    </w:rPr>
  </w:style>
  <w:style w:type="paragraph" w:customStyle="1" w:styleId="MapTitleContinued">
    <w:name w:val="Map Title. Continued"/>
    <w:basedOn w:val="Normal"/>
    <w:rsid w:val="000765CD"/>
    <w:pPr>
      <w:spacing w:after="240"/>
    </w:pPr>
    <w:rPr>
      <w:rFonts w:ascii="Calibri" w:hAnsi="Calibri"/>
      <w:b/>
      <w:sz w:val="32"/>
    </w:rPr>
  </w:style>
  <w:style w:type="paragraph" w:styleId="Footer">
    <w:name w:val="footer"/>
    <w:rsid w:val="000765CD"/>
    <w:pPr>
      <w:spacing w:before="120"/>
    </w:pPr>
    <w:rPr>
      <w:rFonts w:ascii="Arial" w:hAnsi="Arial"/>
      <w:sz w:val="18"/>
      <w:lang w:val="en-US" w:eastAsia="en-US"/>
    </w:rPr>
  </w:style>
  <w:style w:type="character" w:styleId="PageNumber">
    <w:name w:val="page number"/>
    <w:basedOn w:val="DefaultParagraphFont"/>
    <w:rsid w:val="006249E6"/>
    <w:rPr>
      <w:rFonts w:ascii="Arial" w:hAnsi="Arial"/>
      <w:sz w:val="18"/>
      <w:szCs w:val="18"/>
    </w:rPr>
  </w:style>
  <w:style w:type="paragraph" w:customStyle="1" w:styleId="TableText">
    <w:name w:val="Table Text"/>
    <w:basedOn w:val="BlockText"/>
    <w:qFormat/>
    <w:rsid w:val="008346B2"/>
    <w:pPr>
      <w:spacing w:after="60"/>
      <w:ind w:left="0"/>
    </w:pPr>
  </w:style>
  <w:style w:type="paragraph" w:customStyle="1" w:styleId="NoteText">
    <w:name w:val="Note Text"/>
    <w:basedOn w:val="BlockText"/>
    <w:rsid w:val="000765CD"/>
  </w:style>
  <w:style w:type="paragraph" w:customStyle="1" w:styleId="TableHeading">
    <w:name w:val="Table Heading"/>
    <w:basedOn w:val="TableText"/>
    <w:qFormat/>
    <w:rsid w:val="008346B2"/>
    <w:rPr>
      <w:b/>
    </w:rPr>
  </w:style>
  <w:style w:type="paragraph" w:customStyle="1" w:styleId="DocumentTitle">
    <w:name w:val="Document Title"/>
    <w:basedOn w:val="BlockText"/>
    <w:rsid w:val="00B74B42"/>
    <w:pPr>
      <w:spacing w:after="280"/>
      <w:ind w:left="0"/>
    </w:pPr>
    <w:rPr>
      <w:b/>
      <w:color w:val="FFFFFF" w:themeColor="background1"/>
      <w:sz w:val="48"/>
    </w:rPr>
  </w:style>
  <w:style w:type="paragraph" w:styleId="TOC1">
    <w:name w:val="toc 1"/>
    <w:autoRedefine/>
    <w:uiPriority w:val="39"/>
    <w:rsid w:val="0003653F"/>
    <w:pPr>
      <w:tabs>
        <w:tab w:val="left" w:pos="720"/>
        <w:tab w:val="right" w:leader="dot" w:pos="9629"/>
      </w:tabs>
      <w:spacing w:before="120" w:after="120"/>
    </w:pPr>
    <w:rPr>
      <w:rFonts w:ascii="Arial Bold" w:eastAsia="Calibri" w:hAnsi="Arial Bold" w:cs="Arial"/>
      <w:b/>
      <w:bCs/>
      <w:noProof/>
    </w:rPr>
  </w:style>
  <w:style w:type="paragraph" w:styleId="TOC2">
    <w:name w:val="toc 2"/>
    <w:autoRedefine/>
    <w:uiPriority w:val="39"/>
    <w:rsid w:val="00B63B7D"/>
    <w:pPr>
      <w:tabs>
        <w:tab w:val="right" w:leader="dot" w:pos="9629"/>
      </w:tabs>
      <w:ind w:left="238"/>
    </w:pPr>
    <w:rPr>
      <w:rFonts w:ascii="Arial" w:eastAsia="Calibri" w:hAnsi="Arial"/>
      <w:smallCaps/>
      <w:sz w:val="22"/>
      <w:szCs w:val="24"/>
    </w:rPr>
  </w:style>
  <w:style w:type="paragraph" w:customStyle="1" w:styleId="TableBullet1">
    <w:name w:val="Table Bullet 1"/>
    <w:basedOn w:val="TableText"/>
    <w:qFormat/>
    <w:rsid w:val="008346B2"/>
  </w:style>
  <w:style w:type="paragraph" w:styleId="TOC3">
    <w:name w:val="toc 3"/>
    <w:autoRedefine/>
    <w:uiPriority w:val="39"/>
    <w:rsid w:val="00964CAE"/>
    <w:pPr>
      <w:tabs>
        <w:tab w:val="right" w:leader="dot" w:pos="9629"/>
      </w:tabs>
      <w:spacing w:before="120" w:after="120"/>
      <w:ind w:left="238"/>
    </w:pPr>
    <w:rPr>
      <w:rFonts w:ascii="Arial" w:eastAsia="Calibri" w:hAnsi="Arial" w:cs="Arial"/>
      <w:b/>
      <w:iCs/>
      <w:smallCaps/>
      <w:noProof/>
    </w:rPr>
  </w:style>
  <w:style w:type="paragraph" w:styleId="TOC4">
    <w:name w:val="toc 4"/>
    <w:basedOn w:val="Normal"/>
    <w:next w:val="Normal"/>
    <w:autoRedefine/>
    <w:uiPriority w:val="39"/>
    <w:rsid w:val="008C268E"/>
    <w:pPr>
      <w:ind w:left="720"/>
    </w:pPr>
    <w:rPr>
      <w:rFonts w:ascii="Arial" w:hAnsi="Arial"/>
      <w:sz w:val="22"/>
      <w:szCs w:val="18"/>
    </w:rPr>
  </w:style>
  <w:style w:type="character" w:styleId="Hyperlink">
    <w:name w:val="Hyperlink"/>
    <w:basedOn w:val="DefaultParagraphFont"/>
    <w:uiPriority w:val="99"/>
    <w:rsid w:val="00993D49"/>
    <w:rPr>
      <w:rFonts w:asciiTheme="minorHAnsi" w:hAnsiTheme="minorHAnsi"/>
      <w:color w:val="0000FF"/>
      <w:u w:val="single"/>
    </w:rPr>
  </w:style>
  <w:style w:type="paragraph" w:customStyle="1" w:styleId="ContinuedBlockLine">
    <w:name w:val="Continued Block Line"/>
    <w:basedOn w:val="HeadingLine"/>
    <w:rsid w:val="006249E6"/>
  </w:style>
  <w:style w:type="paragraph" w:customStyle="1" w:styleId="DocumentTitleText">
    <w:name w:val="Document Title Text"/>
    <w:next w:val="BlockText"/>
    <w:rsid w:val="006249E6"/>
    <w:pPr>
      <w:spacing w:before="360"/>
      <w:jc w:val="right"/>
    </w:pPr>
    <w:rPr>
      <w:rFonts w:ascii="Arial" w:hAnsi="Arial"/>
      <w:b/>
      <w:bCs/>
      <w:color w:val="FF6600"/>
      <w:sz w:val="44"/>
      <w:lang w:val="en-US" w:eastAsia="en-US"/>
    </w:rPr>
  </w:style>
  <w:style w:type="paragraph" w:customStyle="1" w:styleId="Header4">
    <w:name w:val="Header 4"/>
    <w:basedOn w:val="Heading4"/>
    <w:next w:val="MemoLine"/>
    <w:rsid w:val="00BD7F96"/>
  </w:style>
  <w:style w:type="table" w:styleId="TableGrid">
    <w:name w:val="Table Grid"/>
    <w:basedOn w:val="TableNormal"/>
    <w:uiPriority w:val="59"/>
    <w:rsid w:val="00FF7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2">
    <w:name w:val="Table Bullet 2"/>
    <w:rsid w:val="009238AC"/>
    <w:pPr>
      <w:numPr>
        <w:numId w:val="3"/>
      </w:numPr>
    </w:pPr>
    <w:rPr>
      <w:rFonts w:ascii="Arial" w:hAnsi="Arial"/>
      <w:lang w:val="en-US" w:eastAsia="en-US"/>
    </w:rPr>
  </w:style>
  <w:style w:type="paragraph" w:customStyle="1" w:styleId="TableNote">
    <w:name w:val="Table Note"/>
    <w:rsid w:val="003D6B84"/>
    <w:pPr>
      <w:spacing w:before="120"/>
    </w:pPr>
    <w:rPr>
      <w:rFonts w:ascii="Arial" w:hAnsi="Arial"/>
      <w:lang w:val="en-AU" w:eastAsia="en-US"/>
    </w:rPr>
  </w:style>
  <w:style w:type="paragraph" w:styleId="DocumentMap">
    <w:name w:val="Document Map"/>
    <w:basedOn w:val="Normal"/>
    <w:semiHidden/>
    <w:rsid w:val="00A30165"/>
    <w:pPr>
      <w:shd w:val="clear" w:color="auto" w:fill="000080"/>
    </w:pPr>
    <w:rPr>
      <w:rFonts w:ascii="Tahoma" w:hAnsi="Tahoma" w:cs="Tahoma"/>
      <w:sz w:val="20"/>
    </w:rPr>
  </w:style>
  <w:style w:type="paragraph" w:customStyle="1" w:styleId="NumberText1">
    <w:name w:val="Number Text 1"/>
    <w:basedOn w:val="Normal"/>
    <w:rsid w:val="00A30165"/>
    <w:pPr>
      <w:numPr>
        <w:numId w:val="4"/>
      </w:numPr>
    </w:pPr>
  </w:style>
  <w:style w:type="paragraph" w:styleId="BalloonText">
    <w:name w:val="Balloon Text"/>
    <w:basedOn w:val="Normal"/>
    <w:link w:val="BalloonTextChar"/>
    <w:rsid w:val="003A4787"/>
    <w:rPr>
      <w:rFonts w:ascii="Tahoma" w:hAnsi="Tahoma" w:cs="Tahoma"/>
      <w:sz w:val="16"/>
      <w:szCs w:val="16"/>
    </w:rPr>
  </w:style>
  <w:style w:type="character" w:customStyle="1" w:styleId="BalloonTextChar">
    <w:name w:val="Balloon Text Char"/>
    <w:basedOn w:val="DefaultParagraphFont"/>
    <w:link w:val="BalloonText"/>
    <w:rsid w:val="003A4787"/>
    <w:rPr>
      <w:rFonts w:ascii="Tahoma" w:eastAsia="Calibri" w:hAnsi="Tahoma" w:cs="Tahoma"/>
      <w:sz w:val="16"/>
      <w:szCs w:val="16"/>
    </w:rPr>
  </w:style>
  <w:style w:type="paragraph" w:customStyle="1" w:styleId="Style1">
    <w:name w:val="Style1"/>
    <w:basedOn w:val="Normal"/>
    <w:rsid w:val="00C44A04"/>
    <w:rPr>
      <w:rFonts w:ascii="Arial" w:hAnsi="Arial"/>
      <w:color w:val="A6242E"/>
      <w:sz w:val="28"/>
    </w:rPr>
  </w:style>
  <w:style w:type="paragraph" w:customStyle="1" w:styleId="Style2">
    <w:name w:val="Style2"/>
    <w:basedOn w:val="Heading5"/>
    <w:rsid w:val="007E1553"/>
    <w:rPr>
      <w:rFonts w:ascii="Arial Bold" w:hAnsi="Arial Bold"/>
      <w:b w:val="0"/>
    </w:rPr>
  </w:style>
  <w:style w:type="paragraph" w:styleId="TOC9">
    <w:name w:val="toc 9"/>
    <w:basedOn w:val="Normal"/>
    <w:next w:val="Normal"/>
    <w:autoRedefine/>
    <w:uiPriority w:val="39"/>
    <w:rsid w:val="00AF2146"/>
    <w:pPr>
      <w:ind w:left="1920"/>
    </w:pPr>
  </w:style>
  <w:style w:type="character" w:styleId="Strong">
    <w:name w:val="Strong"/>
    <w:basedOn w:val="DefaultParagraphFont"/>
    <w:rsid w:val="0096415D"/>
    <w:rPr>
      <w:b/>
      <w:bCs/>
    </w:rPr>
  </w:style>
  <w:style w:type="paragraph" w:styleId="TOC5">
    <w:name w:val="toc 5"/>
    <w:basedOn w:val="Normal"/>
    <w:next w:val="Normal"/>
    <w:autoRedefine/>
    <w:uiPriority w:val="39"/>
    <w:rsid w:val="00B63B7D"/>
    <w:pPr>
      <w:spacing w:before="120" w:after="120"/>
      <w:ind w:left="238"/>
    </w:pPr>
    <w:rPr>
      <w:rFonts w:ascii="Arial" w:hAnsi="Arial"/>
      <w:sz w:val="22"/>
    </w:rPr>
  </w:style>
  <w:style w:type="character" w:styleId="PlaceholderText">
    <w:name w:val="Placeholder Text"/>
    <w:basedOn w:val="DefaultParagraphFont"/>
    <w:uiPriority w:val="99"/>
    <w:semiHidden/>
    <w:rsid w:val="0028594D"/>
    <w:rPr>
      <w:color w:val="808080"/>
    </w:rPr>
  </w:style>
  <w:style w:type="character" w:styleId="CommentReference">
    <w:name w:val="annotation reference"/>
    <w:basedOn w:val="DefaultParagraphFont"/>
    <w:unhideWhenUsed/>
    <w:rsid w:val="00780EE3"/>
    <w:rPr>
      <w:sz w:val="18"/>
      <w:szCs w:val="18"/>
    </w:rPr>
  </w:style>
  <w:style w:type="paragraph" w:styleId="CommentText">
    <w:name w:val="annotation text"/>
    <w:basedOn w:val="Normal"/>
    <w:link w:val="CommentTextChar"/>
    <w:unhideWhenUsed/>
    <w:rsid w:val="00780EE3"/>
    <w:rPr>
      <w:rFonts w:ascii="Arial" w:eastAsiaTheme="minorEastAsia" w:hAnsi="Arial" w:cstheme="minorBidi"/>
      <w:lang w:val="en-US" w:eastAsia="ja-JP"/>
    </w:rPr>
  </w:style>
  <w:style w:type="character" w:customStyle="1" w:styleId="CommentTextChar">
    <w:name w:val="Comment Text Char"/>
    <w:basedOn w:val="DefaultParagraphFont"/>
    <w:link w:val="CommentText"/>
    <w:rsid w:val="00780EE3"/>
    <w:rPr>
      <w:rFonts w:ascii="Arial" w:eastAsiaTheme="minorEastAsia" w:hAnsi="Arial" w:cstheme="minorBidi"/>
      <w:sz w:val="24"/>
      <w:szCs w:val="24"/>
      <w:lang w:val="en-US" w:eastAsia="ja-JP"/>
    </w:rPr>
  </w:style>
  <w:style w:type="paragraph" w:styleId="CommentSubject">
    <w:name w:val="annotation subject"/>
    <w:basedOn w:val="CommentText"/>
    <w:next w:val="CommentText"/>
    <w:link w:val="CommentSubjectChar"/>
    <w:rsid w:val="00817515"/>
    <w:rPr>
      <w:rFonts w:ascii="Times New Roman" w:eastAsia="Calibri" w:hAnsi="Times New Roman" w:cs="Times New Roman"/>
      <w:b/>
      <w:bCs/>
      <w:sz w:val="20"/>
      <w:szCs w:val="20"/>
      <w:lang w:val="en-NZ" w:eastAsia="en-NZ"/>
    </w:rPr>
  </w:style>
  <w:style w:type="character" w:customStyle="1" w:styleId="CommentSubjectChar">
    <w:name w:val="Comment Subject Char"/>
    <w:basedOn w:val="CommentTextChar"/>
    <w:link w:val="CommentSubject"/>
    <w:rsid w:val="00817515"/>
    <w:rPr>
      <w:rFonts w:ascii="Arial" w:eastAsia="Calibri" w:hAnsi="Arial" w:cstheme="minorBidi"/>
      <w:b/>
      <w:bCs/>
      <w:sz w:val="24"/>
      <w:szCs w:val="24"/>
      <w:lang w:val="en-US" w:eastAsia="ja-JP"/>
    </w:rPr>
  </w:style>
  <w:style w:type="paragraph" w:styleId="BodyTextIndent">
    <w:name w:val="Body Text Indent"/>
    <w:basedOn w:val="Normal"/>
    <w:link w:val="BodyTextIndentChar"/>
    <w:rsid w:val="00513B17"/>
    <w:pPr>
      <w:overflowPunct w:val="0"/>
      <w:autoSpaceDE w:val="0"/>
      <w:autoSpaceDN w:val="0"/>
      <w:adjustRightInd w:val="0"/>
      <w:ind w:left="720"/>
    </w:pPr>
    <w:rPr>
      <w:rFonts w:ascii="Arial" w:eastAsia="Times New Roman" w:hAnsi="Arial"/>
      <w:bCs/>
      <w:iCs/>
      <w:szCs w:val="20"/>
      <w:lang w:val="en-GB" w:eastAsia="en-US"/>
    </w:rPr>
  </w:style>
  <w:style w:type="character" w:customStyle="1" w:styleId="BodyTextIndentChar">
    <w:name w:val="Body Text Indent Char"/>
    <w:basedOn w:val="DefaultParagraphFont"/>
    <w:link w:val="BodyTextIndent"/>
    <w:rsid w:val="00513B17"/>
    <w:rPr>
      <w:rFonts w:ascii="Arial" w:hAnsi="Arial"/>
      <w:bCs/>
      <w:iCs/>
      <w:sz w:val="24"/>
      <w:lang w:val="en-GB" w:eastAsia="en-US"/>
    </w:rPr>
  </w:style>
  <w:style w:type="paragraph" w:styleId="BodyTextIndent3">
    <w:name w:val="Body Text Indent 3"/>
    <w:basedOn w:val="Normal"/>
    <w:link w:val="BodyTextIndent3Char"/>
    <w:rsid w:val="00513B17"/>
    <w:pPr>
      <w:spacing w:after="120"/>
      <w:ind w:left="283"/>
    </w:pPr>
    <w:rPr>
      <w:sz w:val="16"/>
      <w:szCs w:val="16"/>
    </w:rPr>
  </w:style>
  <w:style w:type="character" w:customStyle="1" w:styleId="BodyTextIndent3Char">
    <w:name w:val="Body Text Indent 3 Char"/>
    <w:basedOn w:val="DefaultParagraphFont"/>
    <w:link w:val="BodyTextIndent3"/>
    <w:rsid w:val="00513B17"/>
    <w:rPr>
      <w:rFonts w:eastAsia="Calibri"/>
      <w:sz w:val="16"/>
      <w:szCs w:val="16"/>
    </w:rPr>
  </w:style>
  <w:style w:type="paragraph" w:styleId="ListParagraph">
    <w:name w:val="List Paragraph"/>
    <w:basedOn w:val="Normal"/>
    <w:link w:val="ListParagraphChar"/>
    <w:uiPriority w:val="34"/>
    <w:qFormat/>
    <w:rsid w:val="00334C5C"/>
    <w:pPr>
      <w:ind w:left="720"/>
      <w:contextualSpacing/>
    </w:pPr>
    <w:rPr>
      <w:rFonts w:eastAsia="Times New Roman"/>
    </w:rPr>
  </w:style>
  <w:style w:type="paragraph" w:styleId="BodyText2">
    <w:name w:val="Body Text 2"/>
    <w:basedOn w:val="Normal"/>
    <w:link w:val="BodyText2Char"/>
    <w:uiPriority w:val="99"/>
    <w:unhideWhenUsed/>
    <w:rsid w:val="00E25FD6"/>
    <w:pPr>
      <w:spacing w:after="120" w:line="480" w:lineRule="auto"/>
    </w:pPr>
    <w:rPr>
      <w:rFonts w:eastAsia="Times New Roman"/>
    </w:rPr>
  </w:style>
  <w:style w:type="character" w:customStyle="1" w:styleId="BodyText2Char">
    <w:name w:val="Body Text 2 Char"/>
    <w:basedOn w:val="DefaultParagraphFont"/>
    <w:link w:val="BodyText2"/>
    <w:uiPriority w:val="99"/>
    <w:rsid w:val="00E25FD6"/>
    <w:rPr>
      <w:sz w:val="24"/>
      <w:szCs w:val="24"/>
    </w:rPr>
  </w:style>
  <w:style w:type="paragraph" w:styleId="BodyText3">
    <w:name w:val="Body Text 3"/>
    <w:basedOn w:val="Normal"/>
    <w:link w:val="BodyText3Char"/>
    <w:rsid w:val="00760178"/>
    <w:pPr>
      <w:spacing w:after="120"/>
    </w:pPr>
    <w:rPr>
      <w:sz w:val="16"/>
      <w:szCs w:val="16"/>
    </w:rPr>
  </w:style>
  <w:style w:type="character" w:customStyle="1" w:styleId="BodyText3Char">
    <w:name w:val="Body Text 3 Char"/>
    <w:basedOn w:val="DefaultParagraphFont"/>
    <w:link w:val="BodyText3"/>
    <w:rsid w:val="00760178"/>
    <w:rPr>
      <w:rFonts w:eastAsia="Calibri"/>
      <w:sz w:val="16"/>
      <w:szCs w:val="16"/>
    </w:rPr>
  </w:style>
  <w:style w:type="paragraph" w:styleId="BodyTextIndent2">
    <w:name w:val="Body Text Indent 2"/>
    <w:basedOn w:val="Normal"/>
    <w:link w:val="BodyTextIndent2Char"/>
    <w:rsid w:val="00DA2F6C"/>
    <w:pPr>
      <w:spacing w:after="120" w:line="480" w:lineRule="auto"/>
      <w:ind w:left="283"/>
    </w:pPr>
  </w:style>
  <w:style w:type="character" w:customStyle="1" w:styleId="BodyTextIndent2Char">
    <w:name w:val="Body Text Indent 2 Char"/>
    <w:basedOn w:val="DefaultParagraphFont"/>
    <w:link w:val="BodyTextIndent2"/>
    <w:rsid w:val="00DA2F6C"/>
    <w:rPr>
      <w:rFonts w:eastAsia="Calibri"/>
      <w:sz w:val="24"/>
      <w:szCs w:val="24"/>
    </w:rPr>
  </w:style>
  <w:style w:type="paragraph" w:customStyle="1" w:styleId="StyleScriptMTBold14ptTealCentered">
    <w:name w:val="Style Script MT Bold 14 pt Teal Centered"/>
    <w:basedOn w:val="Normal"/>
    <w:autoRedefine/>
    <w:rsid w:val="00033B60"/>
    <w:rPr>
      <w:rFonts w:ascii="Script MT Bold" w:eastAsia="Times New Roman" w:hAnsi="Script MT Bold"/>
      <w:color w:val="008080"/>
      <w:sz w:val="28"/>
      <w:szCs w:val="28"/>
    </w:rPr>
  </w:style>
  <w:style w:type="paragraph" w:styleId="TOC6">
    <w:name w:val="toc 6"/>
    <w:basedOn w:val="Normal"/>
    <w:next w:val="Normal"/>
    <w:autoRedefine/>
    <w:uiPriority w:val="39"/>
    <w:rsid w:val="00BD01E8"/>
    <w:pPr>
      <w:ind w:left="1200"/>
    </w:pPr>
  </w:style>
  <w:style w:type="paragraph" w:styleId="TOC7">
    <w:name w:val="toc 7"/>
    <w:basedOn w:val="Normal"/>
    <w:next w:val="Normal"/>
    <w:autoRedefine/>
    <w:uiPriority w:val="39"/>
    <w:rsid w:val="00BD01E8"/>
    <w:pPr>
      <w:ind w:left="1440"/>
    </w:pPr>
  </w:style>
  <w:style w:type="paragraph" w:styleId="TOC8">
    <w:name w:val="toc 8"/>
    <w:basedOn w:val="Normal"/>
    <w:next w:val="Normal"/>
    <w:autoRedefine/>
    <w:uiPriority w:val="39"/>
    <w:rsid w:val="00BD01E8"/>
    <w:pPr>
      <w:ind w:left="1680"/>
    </w:pPr>
  </w:style>
  <w:style w:type="paragraph" w:customStyle="1" w:styleId="BlockNumber">
    <w:name w:val="Block Number"/>
    <w:basedOn w:val="Heading2"/>
    <w:qFormat/>
    <w:rsid w:val="00014F7F"/>
    <w:pPr>
      <w:numPr>
        <w:ilvl w:val="2"/>
        <w:numId w:val="9"/>
      </w:numPr>
      <w:spacing w:before="240" w:after="120"/>
      <w:outlineLvl w:val="9"/>
    </w:pPr>
    <w:rPr>
      <w:b w:val="0"/>
      <w:color w:val="000000" w:themeColor="text1"/>
      <w:sz w:val="20"/>
    </w:rPr>
  </w:style>
  <w:style w:type="numbering" w:customStyle="1" w:styleId="Headings">
    <w:name w:val="Headings"/>
    <w:uiPriority w:val="99"/>
    <w:rsid w:val="00014F7F"/>
    <w:pPr>
      <w:numPr>
        <w:numId w:val="5"/>
      </w:numPr>
    </w:pPr>
  </w:style>
  <w:style w:type="paragraph" w:customStyle="1" w:styleId="Heading1No">
    <w:name w:val="Heading 1 No"/>
    <w:qFormat/>
    <w:rsid w:val="00B848FC"/>
    <w:pPr>
      <w:numPr>
        <w:numId w:val="9"/>
      </w:numPr>
      <w:spacing w:before="120" w:after="240"/>
      <w:outlineLvl w:val="0"/>
    </w:pPr>
    <w:rPr>
      <w:rFonts w:ascii="Arial" w:hAnsi="Arial"/>
      <w:b/>
      <w:sz w:val="24"/>
      <w:szCs w:val="40"/>
      <w:lang w:val="en-US" w:eastAsia="en-US"/>
    </w:rPr>
  </w:style>
  <w:style w:type="paragraph" w:customStyle="1" w:styleId="Heading2No">
    <w:name w:val="Heading 2 No"/>
    <w:basedOn w:val="Heading1No"/>
    <w:qFormat/>
    <w:rsid w:val="00EA42C2"/>
    <w:pPr>
      <w:numPr>
        <w:ilvl w:val="1"/>
      </w:numPr>
      <w:tabs>
        <w:tab w:val="clear" w:pos="5453"/>
        <w:tab w:val="num" w:pos="510"/>
        <w:tab w:val="num" w:pos="680"/>
      </w:tabs>
      <w:spacing w:before="400"/>
      <w:ind w:left="510"/>
      <w:outlineLvl w:val="9"/>
    </w:pPr>
    <w:rPr>
      <w:sz w:val="20"/>
    </w:rPr>
  </w:style>
  <w:style w:type="character" w:customStyle="1" w:styleId="ListParagraphChar">
    <w:name w:val="List Paragraph Char"/>
    <w:basedOn w:val="DefaultParagraphFont"/>
    <w:link w:val="ListParagraph"/>
    <w:uiPriority w:val="34"/>
    <w:rsid w:val="00BD0FEC"/>
    <w:rPr>
      <w:sz w:val="24"/>
      <w:szCs w:val="24"/>
    </w:rPr>
  </w:style>
  <w:style w:type="character" w:customStyle="1" w:styleId="label">
    <w:name w:val="label"/>
    <w:basedOn w:val="DefaultParagraphFont"/>
    <w:rsid w:val="007105DF"/>
  </w:style>
  <w:style w:type="character" w:customStyle="1" w:styleId="spc1">
    <w:name w:val="spc1"/>
    <w:basedOn w:val="DefaultParagraphFont"/>
    <w:rsid w:val="007105DF"/>
    <w:rPr>
      <w:strike w:val="0"/>
      <w:dstrike w:val="0"/>
      <w:u w:val="none"/>
      <w:effect w:val="none"/>
    </w:rPr>
  </w:style>
  <w:style w:type="paragraph" w:customStyle="1" w:styleId="labelled4">
    <w:name w:val="labelled4"/>
    <w:basedOn w:val="Normal"/>
    <w:rsid w:val="007105DF"/>
    <w:pPr>
      <w:spacing w:line="288" w:lineRule="atLeast"/>
      <w:ind w:right="240"/>
    </w:pPr>
    <w:rPr>
      <w:rFonts w:eastAsia="Times New Roman"/>
      <w:color w:val="000000"/>
    </w:rPr>
  </w:style>
  <w:style w:type="character" w:customStyle="1" w:styleId="hit1">
    <w:name w:val="hit1"/>
    <w:basedOn w:val="DefaultParagraphFont"/>
    <w:rsid w:val="009D16D9"/>
    <w:rPr>
      <w:color w:val="000000"/>
      <w:shd w:val="clear" w:color="auto" w:fill="FFFF00"/>
    </w:rPr>
  </w:style>
  <w:style w:type="paragraph" w:customStyle="1" w:styleId="text1">
    <w:name w:val="text1"/>
    <w:basedOn w:val="Normal"/>
    <w:rsid w:val="00A35098"/>
    <w:pPr>
      <w:spacing w:line="288" w:lineRule="atLeast"/>
    </w:pPr>
    <w:rPr>
      <w:rFonts w:eastAsia="Times New Roman"/>
      <w:color w:val="000000"/>
    </w:rPr>
  </w:style>
  <w:style w:type="character" w:styleId="HTMLDefinition">
    <w:name w:val="HTML Definition"/>
    <w:basedOn w:val="DefaultParagraphFont"/>
    <w:uiPriority w:val="99"/>
    <w:unhideWhenUsed/>
    <w:rsid w:val="00A35098"/>
    <w:rPr>
      <w:i/>
      <w:iCs/>
    </w:rPr>
  </w:style>
  <w:style w:type="character" w:styleId="FollowedHyperlink">
    <w:name w:val="FollowedHyperlink"/>
    <w:basedOn w:val="DefaultParagraphFont"/>
    <w:rsid w:val="00551ACF"/>
    <w:rPr>
      <w:color w:val="800080" w:themeColor="followedHyperlink"/>
      <w:u w:val="single"/>
    </w:rPr>
  </w:style>
  <w:style w:type="paragraph" w:styleId="Revision">
    <w:name w:val="Revision"/>
    <w:hidden/>
    <w:uiPriority w:val="99"/>
    <w:semiHidden/>
    <w:rsid w:val="003C527F"/>
    <w:rPr>
      <w:rFonts w:eastAsia="Calibri"/>
      <w:sz w:val="24"/>
      <w:szCs w:val="24"/>
    </w:rPr>
  </w:style>
  <w:style w:type="paragraph" w:customStyle="1" w:styleId="Default">
    <w:name w:val="Default"/>
    <w:rsid w:val="001D67F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8E6931"/>
    <w:pPr>
      <w:ind w:left="709"/>
      <w:jc w:val="both"/>
    </w:pPr>
    <w:rPr>
      <w:rFonts w:ascii="Arial" w:eastAsia="Times New Roman" w:hAnsi="Arial" w:cs="Arial"/>
      <w:sz w:val="20"/>
      <w:szCs w:val="20"/>
      <w:lang w:eastAsia="en-US"/>
    </w:rPr>
  </w:style>
  <w:style w:type="character" w:customStyle="1" w:styleId="FootnoteTextChar">
    <w:name w:val="Footnote Text Char"/>
    <w:basedOn w:val="DefaultParagraphFont"/>
    <w:link w:val="FootnoteText"/>
    <w:rsid w:val="008E6931"/>
    <w:rPr>
      <w:rFonts w:ascii="Arial" w:hAnsi="Arial" w:cs="Arial"/>
      <w:lang w:eastAsia="en-US"/>
    </w:rPr>
  </w:style>
  <w:style w:type="character" w:styleId="FootnoteReference">
    <w:name w:val="footnote reference"/>
    <w:basedOn w:val="DefaultParagraphFont"/>
    <w:rsid w:val="008E6931"/>
    <w:rPr>
      <w:vertAlign w:val="superscript"/>
    </w:rPr>
  </w:style>
  <w:style w:type="paragraph" w:styleId="NormalWeb">
    <w:name w:val="Normal (Web)"/>
    <w:basedOn w:val="Normal"/>
    <w:uiPriority w:val="99"/>
    <w:unhideWhenUsed/>
    <w:rsid w:val="00835314"/>
    <w:rPr>
      <w:rFonts w:eastAsia="Times New Roman"/>
    </w:rPr>
  </w:style>
  <w:style w:type="character" w:customStyle="1" w:styleId="Heading7Char">
    <w:name w:val="Heading 7 Char"/>
    <w:basedOn w:val="DefaultParagraphFont"/>
    <w:link w:val="Heading7"/>
    <w:semiHidden/>
    <w:rsid w:val="00943271"/>
    <w:rPr>
      <w:rFonts w:asciiTheme="majorHAnsi" w:eastAsiaTheme="majorEastAsia" w:hAnsiTheme="majorHAnsi" w:cstheme="majorBidi"/>
      <w:i/>
      <w:iCs/>
      <w:color w:val="404040" w:themeColor="text1" w:themeTint="BF"/>
      <w:sz w:val="24"/>
      <w:lang w:val="en-GB" w:eastAsia="en-US"/>
    </w:rPr>
  </w:style>
  <w:style w:type="character" w:customStyle="1" w:styleId="Heading8Char">
    <w:name w:val="Heading 8 Char"/>
    <w:basedOn w:val="DefaultParagraphFont"/>
    <w:link w:val="Heading8"/>
    <w:rsid w:val="00943271"/>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semiHidden/>
    <w:rsid w:val="00943271"/>
    <w:rPr>
      <w:rFonts w:asciiTheme="majorHAnsi" w:eastAsiaTheme="majorEastAsia" w:hAnsiTheme="majorHAnsi" w:cstheme="majorBidi"/>
      <w:i/>
      <w:iCs/>
      <w:color w:val="404040" w:themeColor="text1" w:themeTint="BF"/>
      <w:lang w:val="en-GB" w:eastAsia="en-US"/>
    </w:rPr>
  </w:style>
  <w:style w:type="paragraph" w:styleId="BodyText">
    <w:name w:val="Body Text"/>
    <w:basedOn w:val="Normal"/>
    <w:link w:val="BodyTextChar"/>
    <w:rsid w:val="00943271"/>
    <w:pPr>
      <w:widowControl w:val="0"/>
      <w:overflowPunct w:val="0"/>
      <w:autoSpaceDE w:val="0"/>
      <w:autoSpaceDN w:val="0"/>
      <w:adjustRightInd w:val="0"/>
      <w:spacing w:after="120"/>
      <w:textAlignment w:val="baseline"/>
    </w:pPr>
    <w:rPr>
      <w:rFonts w:eastAsia="Times New Roman"/>
      <w:szCs w:val="20"/>
      <w:lang w:val="en-GB" w:eastAsia="en-US"/>
    </w:rPr>
  </w:style>
  <w:style w:type="character" w:customStyle="1" w:styleId="BodyTextChar">
    <w:name w:val="Body Text Char"/>
    <w:basedOn w:val="DefaultParagraphFont"/>
    <w:link w:val="BodyText"/>
    <w:rsid w:val="00943271"/>
    <w:rPr>
      <w:sz w:val="24"/>
      <w:lang w:val="en-GB" w:eastAsia="en-US"/>
    </w:rPr>
  </w:style>
  <w:style w:type="character" w:styleId="Emphasis">
    <w:name w:val="Emphasis"/>
    <w:basedOn w:val="DefaultParagraphFont"/>
    <w:uiPriority w:val="20"/>
    <w:qFormat/>
    <w:rsid w:val="002C520F"/>
    <w:rPr>
      <w:i/>
      <w:iCs/>
    </w:rPr>
  </w:style>
  <w:style w:type="character" w:customStyle="1" w:styleId="reftext">
    <w:name w:val="reftext"/>
    <w:basedOn w:val="DefaultParagraphFont"/>
    <w:rsid w:val="00402E0B"/>
  </w:style>
  <w:style w:type="character" w:customStyle="1" w:styleId="apple-converted-space">
    <w:name w:val="apple-converted-space"/>
    <w:basedOn w:val="DefaultParagraphFont"/>
    <w:rsid w:val="00402E0B"/>
  </w:style>
  <w:style w:type="paragraph" w:customStyle="1" w:styleId="TableHdg">
    <w:name w:val="Table Hdg"/>
    <w:uiPriority w:val="1"/>
    <w:qFormat/>
    <w:rsid w:val="002559C7"/>
    <w:pPr>
      <w:spacing w:before="60" w:after="60"/>
    </w:pPr>
    <w:rPr>
      <w:rFonts w:ascii="Arial" w:hAnsi="Arial"/>
      <w:b/>
      <w:color w:val="FFFFFF"/>
      <w:sz w:val="22"/>
      <w:lang w:val="en-AU" w:eastAsia="en-US"/>
    </w:rPr>
  </w:style>
  <w:style w:type="character" w:customStyle="1" w:styleId="UnresolvedMention1">
    <w:name w:val="Unresolved Mention1"/>
    <w:basedOn w:val="DefaultParagraphFont"/>
    <w:uiPriority w:val="99"/>
    <w:semiHidden/>
    <w:unhideWhenUsed/>
    <w:rsid w:val="006D109A"/>
    <w:rPr>
      <w:color w:val="808080"/>
      <w:shd w:val="clear" w:color="auto" w:fill="E6E6E6"/>
    </w:rPr>
  </w:style>
  <w:style w:type="character" w:styleId="UnresolvedMention">
    <w:name w:val="Unresolved Mention"/>
    <w:basedOn w:val="DefaultParagraphFont"/>
    <w:uiPriority w:val="99"/>
    <w:semiHidden/>
    <w:unhideWhenUsed/>
    <w:rsid w:val="009F77B6"/>
    <w:rPr>
      <w:color w:val="605E5C"/>
      <w:shd w:val="clear" w:color="auto" w:fill="E1DFDD"/>
    </w:rPr>
  </w:style>
  <w:style w:type="table" w:customStyle="1" w:styleId="TableGrid1">
    <w:name w:val="Table Grid1"/>
    <w:basedOn w:val="TableNormal"/>
    <w:next w:val="TableGrid"/>
    <w:uiPriority w:val="59"/>
    <w:rsid w:val="00C320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2190">
      <w:bodyDiv w:val="1"/>
      <w:marLeft w:val="0"/>
      <w:marRight w:val="0"/>
      <w:marTop w:val="0"/>
      <w:marBottom w:val="0"/>
      <w:divBdr>
        <w:top w:val="none" w:sz="0" w:space="0" w:color="auto"/>
        <w:left w:val="none" w:sz="0" w:space="0" w:color="auto"/>
        <w:bottom w:val="none" w:sz="0" w:space="0" w:color="auto"/>
        <w:right w:val="none" w:sz="0" w:space="0" w:color="auto"/>
      </w:divBdr>
    </w:div>
    <w:div w:id="224687133">
      <w:bodyDiv w:val="1"/>
      <w:marLeft w:val="0"/>
      <w:marRight w:val="0"/>
      <w:marTop w:val="0"/>
      <w:marBottom w:val="0"/>
      <w:divBdr>
        <w:top w:val="none" w:sz="0" w:space="0" w:color="auto"/>
        <w:left w:val="none" w:sz="0" w:space="0" w:color="auto"/>
        <w:bottom w:val="none" w:sz="0" w:space="0" w:color="auto"/>
        <w:right w:val="none" w:sz="0" w:space="0" w:color="auto"/>
      </w:divBdr>
    </w:div>
    <w:div w:id="336814465">
      <w:bodyDiv w:val="1"/>
      <w:marLeft w:val="0"/>
      <w:marRight w:val="0"/>
      <w:marTop w:val="0"/>
      <w:marBottom w:val="0"/>
      <w:divBdr>
        <w:top w:val="none" w:sz="0" w:space="0" w:color="auto"/>
        <w:left w:val="none" w:sz="0" w:space="0" w:color="auto"/>
        <w:bottom w:val="none" w:sz="0" w:space="0" w:color="auto"/>
        <w:right w:val="none" w:sz="0" w:space="0" w:color="auto"/>
      </w:divBdr>
    </w:div>
    <w:div w:id="361175502">
      <w:bodyDiv w:val="1"/>
      <w:marLeft w:val="0"/>
      <w:marRight w:val="0"/>
      <w:marTop w:val="0"/>
      <w:marBottom w:val="0"/>
      <w:divBdr>
        <w:top w:val="none" w:sz="0" w:space="0" w:color="auto"/>
        <w:left w:val="none" w:sz="0" w:space="0" w:color="auto"/>
        <w:bottom w:val="none" w:sz="0" w:space="0" w:color="auto"/>
        <w:right w:val="none" w:sz="0" w:space="0" w:color="auto"/>
      </w:divBdr>
      <w:divsChild>
        <w:div w:id="1973825103">
          <w:marLeft w:val="0"/>
          <w:marRight w:val="0"/>
          <w:marTop w:val="0"/>
          <w:marBottom w:val="0"/>
          <w:divBdr>
            <w:top w:val="none" w:sz="0" w:space="0" w:color="auto"/>
            <w:left w:val="single" w:sz="6" w:space="0" w:color="EEEEEE"/>
            <w:bottom w:val="none" w:sz="0" w:space="0" w:color="auto"/>
            <w:right w:val="single" w:sz="6" w:space="0" w:color="EEEEEE"/>
          </w:divBdr>
          <w:divsChild>
            <w:div w:id="1190680525">
              <w:marLeft w:val="0"/>
              <w:marRight w:val="0"/>
              <w:marTop w:val="0"/>
              <w:marBottom w:val="0"/>
              <w:divBdr>
                <w:top w:val="none" w:sz="0" w:space="0" w:color="auto"/>
                <w:left w:val="none" w:sz="0" w:space="0" w:color="auto"/>
                <w:bottom w:val="none" w:sz="0" w:space="0" w:color="auto"/>
                <w:right w:val="none" w:sz="0" w:space="0" w:color="auto"/>
              </w:divBdr>
              <w:divsChild>
                <w:div w:id="267934294">
                  <w:marLeft w:val="0"/>
                  <w:marRight w:val="0"/>
                  <w:marTop w:val="0"/>
                  <w:marBottom w:val="480"/>
                  <w:divBdr>
                    <w:top w:val="none" w:sz="0" w:space="0" w:color="auto"/>
                    <w:left w:val="none" w:sz="0" w:space="0" w:color="auto"/>
                    <w:bottom w:val="none" w:sz="0" w:space="0" w:color="auto"/>
                    <w:right w:val="none" w:sz="0" w:space="0" w:color="auto"/>
                  </w:divBdr>
                  <w:divsChild>
                    <w:div w:id="1488861602">
                      <w:marLeft w:val="0"/>
                      <w:marRight w:val="0"/>
                      <w:marTop w:val="0"/>
                      <w:marBottom w:val="0"/>
                      <w:divBdr>
                        <w:top w:val="none" w:sz="0" w:space="0" w:color="auto"/>
                        <w:left w:val="none" w:sz="0" w:space="0" w:color="auto"/>
                        <w:bottom w:val="none" w:sz="0" w:space="0" w:color="auto"/>
                        <w:right w:val="none" w:sz="0" w:space="0" w:color="auto"/>
                      </w:divBdr>
                      <w:divsChild>
                        <w:div w:id="909846820">
                          <w:marLeft w:val="0"/>
                          <w:marRight w:val="0"/>
                          <w:marTop w:val="0"/>
                          <w:marBottom w:val="0"/>
                          <w:divBdr>
                            <w:top w:val="none" w:sz="0" w:space="0" w:color="auto"/>
                            <w:left w:val="none" w:sz="0" w:space="0" w:color="auto"/>
                            <w:bottom w:val="none" w:sz="0" w:space="0" w:color="auto"/>
                            <w:right w:val="none" w:sz="0" w:space="0" w:color="auto"/>
                          </w:divBdr>
                          <w:divsChild>
                            <w:div w:id="1310282786">
                              <w:marLeft w:val="0"/>
                              <w:marRight w:val="0"/>
                              <w:marTop w:val="0"/>
                              <w:marBottom w:val="0"/>
                              <w:divBdr>
                                <w:top w:val="none" w:sz="0" w:space="0" w:color="auto"/>
                                <w:left w:val="none" w:sz="0" w:space="0" w:color="auto"/>
                                <w:bottom w:val="none" w:sz="0" w:space="0" w:color="auto"/>
                                <w:right w:val="none" w:sz="0" w:space="0" w:color="auto"/>
                              </w:divBdr>
                              <w:divsChild>
                                <w:div w:id="266814140">
                                  <w:marLeft w:val="0"/>
                                  <w:marRight w:val="0"/>
                                  <w:marTop w:val="0"/>
                                  <w:marBottom w:val="0"/>
                                  <w:divBdr>
                                    <w:top w:val="none" w:sz="0" w:space="0" w:color="auto"/>
                                    <w:left w:val="none" w:sz="0" w:space="0" w:color="auto"/>
                                    <w:bottom w:val="none" w:sz="0" w:space="0" w:color="auto"/>
                                    <w:right w:val="none" w:sz="0" w:space="0" w:color="auto"/>
                                  </w:divBdr>
                                  <w:divsChild>
                                    <w:div w:id="13756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680927">
      <w:bodyDiv w:val="1"/>
      <w:marLeft w:val="0"/>
      <w:marRight w:val="0"/>
      <w:marTop w:val="0"/>
      <w:marBottom w:val="0"/>
      <w:divBdr>
        <w:top w:val="none" w:sz="0" w:space="0" w:color="auto"/>
        <w:left w:val="none" w:sz="0" w:space="0" w:color="auto"/>
        <w:bottom w:val="none" w:sz="0" w:space="0" w:color="auto"/>
        <w:right w:val="none" w:sz="0" w:space="0" w:color="auto"/>
      </w:divBdr>
    </w:div>
    <w:div w:id="485318816">
      <w:bodyDiv w:val="1"/>
      <w:marLeft w:val="0"/>
      <w:marRight w:val="0"/>
      <w:marTop w:val="0"/>
      <w:marBottom w:val="0"/>
      <w:divBdr>
        <w:top w:val="none" w:sz="0" w:space="0" w:color="auto"/>
        <w:left w:val="none" w:sz="0" w:space="0" w:color="auto"/>
        <w:bottom w:val="none" w:sz="0" w:space="0" w:color="auto"/>
        <w:right w:val="none" w:sz="0" w:space="0" w:color="auto"/>
      </w:divBdr>
    </w:div>
    <w:div w:id="682122855">
      <w:bodyDiv w:val="1"/>
      <w:marLeft w:val="0"/>
      <w:marRight w:val="0"/>
      <w:marTop w:val="0"/>
      <w:marBottom w:val="0"/>
      <w:divBdr>
        <w:top w:val="none" w:sz="0" w:space="0" w:color="auto"/>
        <w:left w:val="none" w:sz="0" w:space="0" w:color="auto"/>
        <w:bottom w:val="none" w:sz="0" w:space="0" w:color="auto"/>
        <w:right w:val="none" w:sz="0" w:space="0" w:color="auto"/>
      </w:divBdr>
    </w:div>
    <w:div w:id="758333635">
      <w:bodyDiv w:val="1"/>
      <w:marLeft w:val="0"/>
      <w:marRight w:val="0"/>
      <w:marTop w:val="0"/>
      <w:marBottom w:val="0"/>
      <w:divBdr>
        <w:top w:val="none" w:sz="0" w:space="0" w:color="auto"/>
        <w:left w:val="none" w:sz="0" w:space="0" w:color="auto"/>
        <w:bottom w:val="none" w:sz="0" w:space="0" w:color="auto"/>
        <w:right w:val="none" w:sz="0" w:space="0" w:color="auto"/>
      </w:divBdr>
    </w:div>
    <w:div w:id="844634641">
      <w:bodyDiv w:val="1"/>
      <w:marLeft w:val="0"/>
      <w:marRight w:val="0"/>
      <w:marTop w:val="0"/>
      <w:marBottom w:val="0"/>
      <w:divBdr>
        <w:top w:val="none" w:sz="0" w:space="0" w:color="auto"/>
        <w:left w:val="none" w:sz="0" w:space="0" w:color="auto"/>
        <w:bottom w:val="none" w:sz="0" w:space="0" w:color="auto"/>
        <w:right w:val="none" w:sz="0" w:space="0" w:color="auto"/>
      </w:divBdr>
    </w:div>
    <w:div w:id="1028337982">
      <w:bodyDiv w:val="1"/>
      <w:marLeft w:val="0"/>
      <w:marRight w:val="0"/>
      <w:marTop w:val="0"/>
      <w:marBottom w:val="0"/>
      <w:divBdr>
        <w:top w:val="none" w:sz="0" w:space="0" w:color="auto"/>
        <w:left w:val="none" w:sz="0" w:space="0" w:color="auto"/>
        <w:bottom w:val="none" w:sz="0" w:space="0" w:color="auto"/>
        <w:right w:val="none" w:sz="0" w:space="0" w:color="auto"/>
      </w:divBdr>
    </w:div>
    <w:div w:id="1085806511">
      <w:bodyDiv w:val="1"/>
      <w:marLeft w:val="0"/>
      <w:marRight w:val="0"/>
      <w:marTop w:val="0"/>
      <w:marBottom w:val="0"/>
      <w:divBdr>
        <w:top w:val="none" w:sz="0" w:space="0" w:color="auto"/>
        <w:left w:val="none" w:sz="0" w:space="0" w:color="auto"/>
        <w:bottom w:val="none" w:sz="0" w:space="0" w:color="auto"/>
        <w:right w:val="none" w:sz="0" w:space="0" w:color="auto"/>
      </w:divBdr>
    </w:div>
    <w:div w:id="1157070816">
      <w:bodyDiv w:val="1"/>
      <w:marLeft w:val="0"/>
      <w:marRight w:val="0"/>
      <w:marTop w:val="0"/>
      <w:marBottom w:val="0"/>
      <w:divBdr>
        <w:top w:val="none" w:sz="0" w:space="0" w:color="auto"/>
        <w:left w:val="none" w:sz="0" w:space="0" w:color="auto"/>
        <w:bottom w:val="none" w:sz="0" w:space="0" w:color="auto"/>
        <w:right w:val="none" w:sz="0" w:space="0" w:color="auto"/>
      </w:divBdr>
      <w:divsChild>
        <w:div w:id="1987540095">
          <w:marLeft w:val="0"/>
          <w:marRight w:val="0"/>
          <w:marTop w:val="0"/>
          <w:marBottom w:val="0"/>
          <w:divBdr>
            <w:top w:val="none" w:sz="0" w:space="0" w:color="auto"/>
            <w:left w:val="none" w:sz="0" w:space="0" w:color="auto"/>
            <w:bottom w:val="none" w:sz="0" w:space="0" w:color="auto"/>
            <w:right w:val="none" w:sz="0" w:space="0" w:color="auto"/>
          </w:divBdr>
          <w:divsChild>
            <w:div w:id="1240021746">
              <w:marLeft w:val="0"/>
              <w:marRight w:val="0"/>
              <w:marTop w:val="0"/>
              <w:marBottom w:val="0"/>
              <w:divBdr>
                <w:top w:val="none" w:sz="0" w:space="0" w:color="auto"/>
                <w:left w:val="none" w:sz="0" w:space="0" w:color="auto"/>
                <w:bottom w:val="none" w:sz="0" w:space="0" w:color="auto"/>
                <w:right w:val="none" w:sz="0" w:space="0" w:color="auto"/>
              </w:divBdr>
              <w:divsChild>
                <w:div w:id="2141145812">
                  <w:marLeft w:val="0"/>
                  <w:marRight w:val="0"/>
                  <w:marTop w:val="0"/>
                  <w:marBottom w:val="0"/>
                  <w:divBdr>
                    <w:top w:val="none" w:sz="0" w:space="0" w:color="auto"/>
                    <w:left w:val="none" w:sz="0" w:space="0" w:color="auto"/>
                    <w:bottom w:val="none" w:sz="0" w:space="0" w:color="auto"/>
                    <w:right w:val="none" w:sz="0" w:space="0" w:color="auto"/>
                  </w:divBdr>
                  <w:divsChild>
                    <w:div w:id="2054577769">
                      <w:marLeft w:val="0"/>
                      <w:marRight w:val="0"/>
                      <w:marTop w:val="0"/>
                      <w:marBottom w:val="0"/>
                      <w:divBdr>
                        <w:top w:val="none" w:sz="0" w:space="0" w:color="auto"/>
                        <w:left w:val="none" w:sz="0" w:space="0" w:color="auto"/>
                        <w:bottom w:val="none" w:sz="0" w:space="0" w:color="auto"/>
                        <w:right w:val="none" w:sz="0" w:space="0" w:color="auto"/>
                      </w:divBdr>
                      <w:divsChild>
                        <w:div w:id="1055667947">
                          <w:marLeft w:val="0"/>
                          <w:marRight w:val="0"/>
                          <w:marTop w:val="0"/>
                          <w:marBottom w:val="0"/>
                          <w:divBdr>
                            <w:top w:val="none" w:sz="0" w:space="0" w:color="auto"/>
                            <w:left w:val="none" w:sz="0" w:space="0" w:color="auto"/>
                            <w:bottom w:val="none" w:sz="0" w:space="0" w:color="auto"/>
                            <w:right w:val="none" w:sz="0" w:space="0" w:color="auto"/>
                          </w:divBdr>
                          <w:divsChild>
                            <w:div w:id="15720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139815">
      <w:bodyDiv w:val="1"/>
      <w:marLeft w:val="0"/>
      <w:marRight w:val="0"/>
      <w:marTop w:val="0"/>
      <w:marBottom w:val="0"/>
      <w:divBdr>
        <w:top w:val="none" w:sz="0" w:space="0" w:color="auto"/>
        <w:left w:val="none" w:sz="0" w:space="0" w:color="auto"/>
        <w:bottom w:val="none" w:sz="0" w:space="0" w:color="auto"/>
        <w:right w:val="none" w:sz="0" w:space="0" w:color="auto"/>
      </w:divBdr>
    </w:div>
    <w:div w:id="1244609950">
      <w:bodyDiv w:val="1"/>
      <w:marLeft w:val="0"/>
      <w:marRight w:val="0"/>
      <w:marTop w:val="0"/>
      <w:marBottom w:val="0"/>
      <w:divBdr>
        <w:top w:val="none" w:sz="0" w:space="0" w:color="auto"/>
        <w:left w:val="none" w:sz="0" w:space="0" w:color="auto"/>
        <w:bottom w:val="none" w:sz="0" w:space="0" w:color="auto"/>
        <w:right w:val="none" w:sz="0" w:space="0" w:color="auto"/>
      </w:divBdr>
    </w:div>
    <w:div w:id="1479107356">
      <w:bodyDiv w:val="1"/>
      <w:marLeft w:val="0"/>
      <w:marRight w:val="0"/>
      <w:marTop w:val="0"/>
      <w:marBottom w:val="0"/>
      <w:divBdr>
        <w:top w:val="none" w:sz="0" w:space="0" w:color="auto"/>
        <w:left w:val="none" w:sz="0" w:space="0" w:color="auto"/>
        <w:bottom w:val="none" w:sz="0" w:space="0" w:color="auto"/>
        <w:right w:val="none" w:sz="0" w:space="0" w:color="auto"/>
      </w:divBdr>
      <w:divsChild>
        <w:div w:id="1734810341">
          <w:marLeft w:val="0"/>
          <w:marRight w:val="0"/>
          <w:marTop w:val="0"/>
          <w:marBottom w:val="0"/>
          <w:divBdr>
            <w:top w:val="none" w:sz="0" w:space="0" w:color="auto"/>
            <w:left w:val="none" w:sz="0" w:space="0" w:color="auto"/>
            <w:bottom w:val="none" w:sz="0" w:space="0" w:color="auto"/>
            <w:right w:val="none" w:sz="0" w:space="0" w:color="auto"/>
          </w:divBdr>
          <w:divsChild>
            <w:div w:id="1006203234">
              <w:marLeft w:val="0"/>
              <w:marRight w:val="0"/>
              <w:marTop w:val="0"/>
              <w:marBottom w:val="0"/>
              <w:divBdr>
                <w:top w:val="none" w:sz="0" w:space="0" w:color="auto"/>
                <w:left w:val="none" w:sz="0" w:space="0" w:color="auto"/>
                <w:bottom w:val="none" w:sz="0" w:space="0" w:color="auto"/>
                <w:right w:val="none" w:sz="0" w:space="0" w:color="auto"/>
              </w:divBdr>
              <w:divsChild>
                <w:div w:id="407457088">
                  <w:marLeft w:val="0"/>
                  <w:marRight w:val="0"/>
                  <w:marTop w:val="0"/>
                  <w:marBottom w:val="0"/>
                  <w:divBdr>
                    <w:top w:val="none" w:sz="0" w:space="0" w:color="auto"/>
                    <w:left w:val="none" w:sz="0" w:space="0" w:color="auto"/>
                    <w:bottom w:val="none" w:sz="0" w:space="0" w:color="auto"/>
                    <w:right w:val="none" w:sz="0" w:space="0" w:color="auto"/>
                  </w:divBdr>
                  <w:divsChild>
                    <w:div w:id="1575161844">
                      <w:marLeft w:val="0"/>
                      <w:marRight w:val="0"/>
                      <w:marTop w:val="0"/>
                      <w:marBottom w:val="0"/>
                      <w:divBdr>
                        <w:top w:val="none" w:sz="0" w:space="0" w:color="auto"/>
                        <w:left w:val="none" w:sz="0" w:space="0" w:color="auto"/>
                        <w:bottom w:val="none" w:sz="0" w:space="0" w:color="auto"/>
                        <w:right w:val="none" w:sz="0" w:space="0" w:color="auto"/>
                      </w:divBdr>
                      <w:divsChild>
                        <w:div w:id="1918201846">
                          <w:marLeft w:val="0"/>
                          <w:marRight w:val="0"/>
                          <w:marTop w:val="0"/>
                          <w:marBottom w:val="0"/>
                          <w:divBdr>
                            <w:top w:val="none" w:sz="0" w:space="0" w:color="auto"/>
                            <w:left w:val="none" w:sz="0" w:space="0" w:color="auto"/>
                            <w:bottom w:val="none" w:sz="0" w:space="0" w:color="auto"/>
                            <w:right w:val="none" w:sz="0" w:space="0" w:color="auto"/>
                          </w:divBdr>
                          <w:divsChild>
                            <w:div w:id="19536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578562">
      <w:bodyDiv w:val="1"/>
      <w:marLeft w:val="0"/>
      <w:marRight w:val="0"/>
      <w:marTop w:val="0"/>
      <w:marBottom w:val="0"/>
      <w:divBdr>
        <w:top w:val="none" w:sz="0" w:space="0" w:color="auto"/>
        <w:left w:val="none" w:sz="0" w:space="0" w:color="auto"/>
        <w:bottom w:val="none" w:sz="0" w:space="0" w:color="auto"/>
        <w:right w:val="none" w:sz="0" w:space="0" w:color="auto"/>
      </w:divBdr>
    </w:div>
    <w:div w:id="1628009161">
      <w:bodyDiv w:val="1"/>
      <w:marLeft w:val="0"/>
      <w:marRight w:val="0"/>
      <w:marTop w:val="0"/>
      <w:marBottom w:val="0"/>
      <w:divBdr>
        <w:top w:val="none" w:sz="0" w:space="0" w:color="auto"/>
        <w:left w:val="none" w:sz="0" w:space="0" w:color="auto"/>
        <w:bottom w:val="none" w:sz="0" w:space="0" w:color="auto"/>
        <w:right w:val="none" w:sz="0" w:space="0" w:color="auto"/>
      </w:divBdr>
    </w:div>
    <w:div w:id="1637836016">
      <w:bodyDiv w:val="1"/>
      <w:marLeft w:val="0"/>
      <w:marRight w:val="0"/>
      <w:marTop w:val="0"/>
      <w:marBottom w:val="0"/>
      <w:divBdr>
        <w:top w:val="none" w:sz="0" w:space="0" w:color="auto"/>
        <w:left w:val="none" w:sz="0" w:space="0" w:color="auto"/>
        <w:bottom w:val="none" w:sz="0" w:space="0" w:color="auto"/>
        <w:right w:val="none" w:sz="0" w:space="0" w:color="auto"/>
      </w:divBdr>
    </w:div>
    <w:div w:id="1684479537">
      <w:bodyDiv w:val="1"/>
      <w:marLeft w:val="0"/>
      <w:marRight w:val="0"/>
      <w:marTop w:val="0"/>
      <w:marBottom w:val="0"/>
      <w:divBdr>
        <w:top w:val="none" w:sz="0" w:space="0" w:color="auto"/>
        <w:left w:val="none" w:sz="0" w:space="0" w:color="auto"/>
        <w:bottom w:val="none" w:sz="0" w:space="0" w:color="auto"/>
        <w:right w:val="none" w:sz="0" w:space="0" w:color="auto"/>
      </w:divBdr>
    </w:div>
    <w:div w:id="1877503811">
      <w:bodyDiv w:val="1"/>
      <w:marLeft w:val="0"/>
      <w:marRight w:val="0"/>
      <w:marTop w:val="0"/>
      <w:marBottom w:val="0"/>
      <w:divBdr>
        <w:top w:val="none" w:sz="0" w:space="0" w:color="auto"/>
        <w:left w:val="none" w:sz="0" w:space="0" w:color="auto"/>
        <w:bottom w:val="none" w:sz="0" w:space="0" w:color="auto"/>
        <w:right w:val="none" w:sz="0" w:space="0" w:color="auto"/>
      </w:divBdr>
    </w:div>
    <w:div w:id="1935430719">
      <w:bodyDiv w:val="1"/>
      <w:marLeft w:val="0"/>
      <w:marRight w:val="0"/>
      <w:marTop w:val="0"/>
      <w:marBottom w:val="0"/>
      <w:divBdr>
        <w:top w:val="none" w:sz="0" w:space="0" w:color="auto"/>
        <w:left w:val="none" w:sz="0" w:space="0" w:color="auto"/>
        <w:bottom w:val="none" w:sz="0" w:space="0" w:color="auto"/>
        <w:right w:val="none" w:sz="0" w:space="0" w:color="auto"/>
      </w:divBdr>
    </w:div>
    <w:div w:id="2051342907">
      <w:bodyDiv w:val="1"/>
      <w:marLeft w:val="0"/>
      <w:marRight w:val="0"/>
      <w:marTop w:val="0"/>
      <w:marBottom w:val="0"/>
      <w:divBdr>
        <w:top w:val="none" w:sz="0" w:space="0" w:color="auto"/>
        <w:left w:val="none" w:sz="0" w:space="0" w:color="auto"/>
        <w:bottom w:val="none" w:sz="0" w:space="0" w:color="auto"/>
        <w:right w:val="none" w:sz="0" w:space="0" w:color="auto"/>
      </w:divBdr>
      <w:divsChild>
        <w:div w:id="1933321897">
          <w:marLeft w:val="0"/>
          <w:marRight w:val="0"/>
          <w:marTop w:val="0"/>
          <w:marBottom w:val="0"/>
          <w:divBdr>
            <w:top w:val="none" w:sz="0" w:space="0" w:color="auto"/>
            <w:left w:val="none" w:sz="0" w:space="0" w:color="auto"/>
            <w:bottom w:val="none" w:sz="0" w:space="0" w:color="auto"/>
            <w:right w:val="none" w:sz="0" w:space="0" w:color="auto"/>
          </w:divBdr>
        </w:div>
        <w:div w:id="1285388000">
          <w:marLeft w:val="0"/>
          <w:marRight w:val="0"/>
          <w:marTop w:val="0"/>
          <w:marBottom w:val="0"/>
          <w:divBdr>
            <w:top w:val="none" w:sz="0" w:space="0" w:color="auto"/>
            <w:left w:val="none" w:sz="0" w:space="0" w:color="auto"/>
            <w:bottom w:val="none" w:sz="0" w:space="0" w:color="auto"/>
            <w:right w:val="none" w:sz="0" w:space="0" w:color="auto"/>
          </w:divBdr>
        </w:div>
        <w:div w:id="1374306615">
          <w:marLeft w:val="0"/>
          <w:marRight w:val="0"/>
          <w:marTop w:val="0"/>
          <w:marBottom w:val="0"/>
          <w:divBdr>
            <w:top w:val="none" w:sz="0" w:space="0" w:color="auto"/>
            <w:left w:val="none" w:sz="0" w:space="0" w:color="auto"/>
            <w:bottom w:val="none" w:sz="0" w:space="0" w:color="auto"/>
            <w:right w:val="none" w:sz="0" w:space="0" w:color="auto"/>
          </w:divBdr>
        </w:div>
        <w:div w:id="214320598">
          <w:marLeft w:val="0"/>
          <w:marRight w:val="0"/>
          <w:marTop w:val="0"/>
          <w:marBottom w:val="0"/>
          <w:divBdr>
            <w:top w:val="none" w:sz="0" w:space="0" w:color="auto"/>
            <w:left w:val="none" w:sz="0" w:space="0" w:color="auto"/>
            <w:bottom w:val="none" w:sz="0" w:space="0" w:color="auto"/>
            <w:right w:val="none" w:sz="0" w:space="0" w:color="auto"/>
          </w:divBdr>
        </w:div>
        <w:div w:id="199242694">
          <w:marLeft w:val="0"/>
          <w:marRight w:val="0"/>
          <w:marTop w:val="0"/>
          <w:marBottom w:val="0"/>
          <w:divBdr>
            <w:top w:val="none" w:sz="0" w:space="0" w:color="auto"/>
            <w:left w:val="none" w:sz="0" w:space="0" w:color="auto"/>
            <w:bottom w:val="none" w:sz="0" w:space="0" w:color="auto"/>
            <w:right w:val="none" w:sz="0" w:space="0" w:color="auto"/>
          </w:divBdr>
        </w:div>
        <w:div w:id="1890408879">
          <w:marLeft w:val="0"/>
          <w:marRight w:val="0"/>
          <w:marTop w:val="0"/>
          <w:marBottom w:val="0"/>
          <w:divBdr>
            <w:top w:val="none" w:sz="0" w:space="0" w:color="auto"/>
            <w:left w:val="none" w:sz="0" w:space="0" w:color="auto"/>
            <w:bottom w:val="none" w:sz="0" w:space="0" w:color="auto"/>
            <w:right w:val="none" w:sz="0" w:space="0" w:color="auto"/>
          </w:divBdr>
        </w:div>
        <w:div w:id="601764284">
          <w:marLeft w:val="0"/>
          <w:marRight w:val="0"/>
          <w:marTop w:val="0"/>
          <w:marBottom w:val="0"/>
          <w:divBdr>
            <w:top w:val="none" w:sz="0" w:space="0" w:color="auto"/>
            <w:left w:val="none" w:sz="0" w:space="0" w:color="auto"/>
            <w:bottom w:val="none" w:sz="0" w:space="0" w:color="auto"/>
            <w:right w:val="none" w:sz="0" w:space="0" w:color="auto"/>
          </w:divBdr>
        </w:div>
        <w:div w:id="2032687378">
          <w:marLeft w:val="0"/>
          <w:marRight w:val="0"/>
          <w:marTop w:val="0"/>
          <w:marBottom w:val="0"/>
          <w:divBdr>
            <w:top w:val="none" w:sz="0" w:space="0" w:color="auto"/>
            <w:left w:val="none" w:sz="0" w:space="0" w:color="auto"/>
            <w:bottom w:val="none" w:sz="0" w:space="0" w:color="auto"/>
            <w:right w:val="none" w:sz="0" w:space="0" w:color="auto"/>
          </w:divBdr>
        </w:div>
        <w:div w:id="1454789218">
          <w:marLeft w:val="0"/>
          <w:marRight w:val="0"/>
          <w:marTop w:val="0"/>
          <w:marBottom w:val="0"/>
          <w:divBdr>
            <w:top w:val="none" w:sz="0" w:space="0" w:color="auto"/>
            <w:left w:val="none" w:sz="0" w:space="0" w:color="auto"/>
            <w:bottom w:val="none" w:sz="0" w:space="0" w:color="auto"/>
            <w:right w:val="none" w:sz="0" w:space="0" w:color="auto"/>
          </w:divBdr>
        </w:div>
        <w:div w:id="2020113569">
          <w:marLeft w:val="0"/>
          <w:marRight w:val="0"/>
          <w:marTop w:val="0"/>
          <w:marBottom w:val="0"/>
          <w:divBdr>
            <w:top w:val="none" w:sz="0" w:space="0" w:color="auto"/>
            <w:left w:val="none" w:sz="0" w:space="0" w:color="auto"/>
            <w:bottom w:val="none" w:sz="0" w:space="0" w:color="auto"/>
            <w:right w:val="none" w:sz="0" w:space="0" w:color="auto"/>
          </w:divBdr>
        </w:div>
        <w:div w:id="1498300820">
          <w:marLeft w:val="0"/>
          <w:marRight w:val="0"/>
          <w:marTop w:val="0"/>
          <w:marBottom w:val="0"/>
          <w:divBdr>
            <w:top w:val="none" w:sz="0" w:space="0" w:color="auto"/>
            <w:left w:val="none" w:sz="0" w:space="0" w:color="auto"/>
            <w:bottom w:val="none" w:sz="0" w:space="0" w:color="auto"/>
            <w:right w:val="none" w:sz="0" w:space="0" w:color="auto"/>
          </w:divBdr>
        </w:div>
        <w:div w:id="1195267977">
          <w:marLeft w:val="0"/>
          <w:marRight w:val="0"/>
          <w:marTop w:val="0"/>
          <w:marBottom w:val="0"/>
          <w:divBdr>
            <w:top w:val="none" w:sz="0" w:space="0" w:color="auto"/>
            <w:left w:val="none" w:sz="0" w:space="0" w:color="auto"/>
            <w:bottom w:val="none" w:sz="0" w:space="0" w:color="auto"/>
            <w:right w:val="none" w:sz="0" w:space="0" w:color="auto"/>
          </w:divBdr>
        </w:div>
        <w:div w:id="1139955689">
          <w:marLeft w:val="0"/>
          <w:marRight w:val="0"/>
          <w:marTop w:val="0"/>
          <w:marBottom w:val="0"/>
          <w:divBdr>
            <w:top w:val="none" w:sz="0" w:space="0" w:color="auto"/>
            <w:left w:val="none" w:sz="0" w:space="0" w:color="auto"/>
            <w:bottom w:val="none" w:sz="0" w:space="0" w:color="auto"/>
            <w:right w:val="none" w:sz="0" w:space="0" w:color="auto"/>
          </w:divBdr>
        </w:div>
        <w:div w:id="881328875">
          <w:marLeft w:val="0"/>
          <w:marRight w:val="0"/>
          <w:marTop w:val="0"/>
          <w:marBottom w:val="0"/>
          <w:divBdr>
            <w:top w:val="none" w:sz="0" w:space="0" w:color="auto"/>
            <w:left w:val="none" w:sz="0" w:space="0" w:color="auto"/>
            <w:bottom w:val="none" w:sz="0" w:space="0" w:color="auto"/>
            <w:right w:val="none" w:sz="0" w:space="0" w:color="auto"/>
          </w:divBdr>
        </w:div>
        <w:div w:id="1820076336">
          <w:marLeft w:val="0"/>
          <w:marRight w:val="0"/>
          <w:marTop w:val="0"/>
          <w:marBottom w:val="0"/>
          <w:divBdr>
            <w:top w:val="none" w:sz="0" w:space="0" w:color="auto"/>
            <w:left w:val="none" w:sz="0" w:space="0" w:color="auto"/>
            <w:bottom w:val="none" w:sz="0" w:space="0" w:color="auto"/>
            <w:right w:val="none" w:sz="0" w:space="0" w:color="auto"/>
          </w:divBdr>
        </w:div>
        <w:div w:id="281503104">
          <w:marLeft w:val="0"/>
          <w:marRight w:val="0"/>
          <w:marTop w:val="0"/>
          <w:marBottom w:val="0"/>
          <w:divBdr>
            <w:top w:val="none" w:sz="0" w:space="0" w:color="auto"/>
            <w:left w:val="none" w:sz="0" w:space="0" w:color="auto"/>
            <w:bottom w:val="none" w:sz="0" w:space="0" w:color="auto"/>
            <w:right w:val="none" w:sz="0" w:space="0" w:color="auto"/>
          </w:divBdr>
        </w:div>
        <w:div w:id="1733697561">
          <w:marLeft w:val="0"/>
          <w:marRight w:val="0"/>
          <w:marTop w:val="0"/>
          <w:marBottom w:val="0"/>
          <w:divBdr>
            <w:top w:val="none" w:sz="0" w:space="0" w:color="auto"/>
            <w:left w:val="none" w:sz="0" w:space="0" w:color="auto"/>
            <w:bottom w:val="none" w:sz="0" w:space="0" w:color="auto"/>
            <w:right w:val="none" w:sz="0" w:space="0" w:color="auto"/>
          </w:divBdr>
        </w:div>
        <w:div w:id="211963010">
          <w:marLeft w:val="0"/>
          <w:marRight w:val="0"/>
          <w:marTop w:val="0"/>
          <w:marBottom w:val="0"/>
          <w:divBdr>
            <w:top w:val="none" w:sz="0" w:space="0" w:color="auto"/>
            <w:left w:val="none" w:sz="0" w:space="0" w:color="auto"/>
            <w:bottom w:val="none" w:sz="0" w:space="0" w:color="auto"/>
            <w:right w:val="none" w:sz="0" w:space="0" w:color="auto"/>
          </w:divBdr>
        </w:div>
        <w:div w:id="682515305">
          <w:marLeft w:val="0"/>
          <w:marRight w:val="0"/>
          <w:marTop w:val="0"/>
          <w:marBottom w:val="0"/>
          <w:divBdr>
            <w:top w:val="none" w:sz="0" w:space="0" w:color="auto"/>
            <w:left w:val="none" w:sz="0" w:space="0" w:color="auto"/>
            <w:bottom w:val="none" w:sz="0" w:space="0" w:color="auto"/>
            <w:right w:val="none" w:sz="0" w:space="0" w:color="auto"/>
          </w:divBdr>
        </w:div>
      </w:divsChild>
    </w:div>
    <w:div w:id="2090616904">
      <w:bodyDiv w:val="1"/>
      <w:marLeft w:val="0"/>
      <w:marRight w:val="0"/>
      <w:marTop w:val="0"/>
      <w:marBottom w:val="0"/>
      <w:divBdr>
        <w:top w:val="none" w:sz="0" w:space="0" w:color="auto"/>
        <w:left w:val="none" w:sz="0" w:space="0" w:color="auto"/>
        <w:bottom w:val="none" w:sz="0" w:space="0" w:color="auto"/>
        <w:right w:val="none" w:sz="0" w:space="0" w:color="auto"/>
      </w:divBdr>
    </w:div>
    <w:div w:id="2100983034">
      <w:bodyDiv w:val="1"/>
      <w:marLeft w:val="0"/>
      <w:marRight w:val="0"/>
      <w:marTop w:val="0"/>
      <w:marBottom w:val="0"/>
      <w:divBdr>
        <w:top w:val="none" w:sz="0" w:space="0" w:color="auto"/>
        <w:left w:val="none" w:sz="0" w:space="0" w:color="auto"/>
        <w:bottom w:val="none" w:sz="0" w:space="0" w:color="auto"/>
        <w:right w:val="none" w:sz="0" w:space="0" w:color="auto"/>
      </w:divBdr>
      <w:divsChild>
        <w:div w:id="1641107971">
          <w:marLeft w:val="0"/>
          <w:marRight w:val="0"/>
          <w:marTop w:val="0"/>
          <w:marBottom w:val="0"/>
          <w:divBdr>
            <w:top w:val="none" w:sz="0" w:space="0" w:color="auto"/>
            <w:left w:val="none" w:sz="0" w:space="0" w:color="auto"/>
            <w:bottom w:val="none" w:sz="0" w:space="0" w:color="auto"/>
            <w:right w:val="none" w:sz="0" w:space="0" w:color="auto"/>
          </w:divBdr>
        </w:div>
        <w:div w:id="926957375">
          <w:marLeft w:val="0"/>
          <w:marRight w:val="0"/>
          <w:marTop w:val="0"/>
          <w:marBottom w:val="0"/>
          <w:divBdr>
            <w:top w:val="none" w:sz="0" w:space="0" w:color="auto"/>
            <w:left w:val="none" w:sz="0" w:space="0" w:color="auto"/>
            <w:bottom w:val="none" w:sz="0" w:space="0" w:color="auto"/>
            <w:right w:val="none" w:sz="0" w:space="0" w:color="auto"/>
          </w:divBdr>
        </w:div>
        <w:div w:id="1260068769">
          <w:marLeft w:val="0"/>
          <w:marRight w:val="0"/>
          <w:marTop w:val="0"/>
          <w:marBottom w:val="0"/>
          <w:divBdr>
            <w:top w:val="none" w:sz="0" w:space="0" w:color="auto"/>
            <w:left w:val="none" w:sz="0" w:space="0" w:color="auto"/>
            <w:bottom w:val="none" w:sz="0" w:space="0" w:color="auto"/>
            <w:right w:val="none" w:sz="0" w:space="0" w:color="auto"/>
          </w:divBdr>
        </w:div>
        <w:div w:id="585000107">
          <w:marLeft w:val="0"/>
          <w:marRight w:val="0"/>
          <w:marTop w:val="0"/>
          <w:marBottom w:val="0"/>
          <w:divBdr>
            <w:top w:val="none" w:sz="0" w:space="0" w:color="auto"/>
            <w:left w:val="none" w:sz="0" w:space="0" w:color="auto"/>
            <w:bottom w:val="none" w:sz="0" w:space="0" w:color="auto"/>
            <w:right w:val="none" w:sz="0" w:space="0" w:color="auto"/>
          </w:divBdr>
        </w:div>
        <w:div w:id="1377658741">
          <w:marLeft w:val="0"/>
          <w:marRight w:val="0"/>
          <w:marTop w:val="0"/>
          <w:marBottom w:val="0"/>
          <w:divBdr>
            <w:top w:val="none" w:sz="0" w:space="0" w:color="auto"/>
            <w:left w:val="none" w:sz="0" w:space="0" w:color="auto"/>
            <w:bottom w:val="none" w:sz="0" w:space="0" w:color="auto"/>
            <w:right w:val="none" w:sz="0" w:space="0" w:color="auto"/>
          </w:divBdr>
        </w:div>
        <w:div w:id="1929003898">
          <w:marLeft w:val="0"/>
          <w:marRight w:val="0"/>
          <w:marTop w:val="0"/>
          <w:marBottom w:val="0"/>
          <w:divBdr>
            <w:top w:val="none" w:sz="0" w:space="0" w:color="auto"/>
            <w:left w:val="none" w:sz="0" w:space="0" w:color="auto"/>
            <w:bottom w:val="none" w:sz="0" w:space="0" w:color="auto"/>
            <w:right w:val="none" w:sz="0" w:space="0" w:color="auto"/>
          </w:divBdr>
        </w:div>
        <w:div w:id="1437796208">
          <w:marLeft w:val="0"/>
          <w:marRight w:val="0"/>
          <w:marTop w:val="0"/>
          <w:marBottom w:val="0"/>
          <w:divBdr>
            <w:top w:val="none" w:sz="0" w:space="0" w:color="auto"/>
            <w:left w:val="none" w:sz="0" w:space="0" w:color="auto"/>
            <w:bottom w:val="none" w:sz="0" w:space="0" w:color="auto"/>
            <w:right w:val="none" w:sz="0" w:space="0" w:color="auto"/>
          </w:divBdr>
        </w:div>
        <w:div w:id="2081832522">
          <w:marLeft w:val="0"/>
          <w:marRight w:val="0"/>
          <w:marTop w:val="0"/>
          <w:marBottom w:val="0"/>
          <w:divBdr>
            <w:top w:val="none" w:sz="0" w:space="0" w:color="auto"/>
            <w:left w:val="none" w:sz="0" w:space="0" w:color="auto"/>
            <w:bottom w:val="none" w:sz="0" w:space="0" w:color="auto"/>
            <w:right w:val="none" w:sz="0" w:space="0" w:color="auto"/>
          </w:divBdr>
        </w:div>
        <w:div w:id="41250897">
          <w:marLeft w:val="0"/>
          <w:marRight w:val="0"/>
          <w:marTop w:val="0"/>
          <w:marBottom w:val="0"/>
          <w:divBdr>
            <w:top w:val="none" w:sz="0" w:space="0" w:color="auto"/>
            <w:left w:val="none" w:sz="0" w:space="0" w:color="auto"/>
            <w:bottom w:val="none" w:sz="0" w:space="0" w:color="auto"/>
            <w:right w:val="none" w:sz="0" w:space="0" w:color="auto"/>
          </w:divBdr>
        </w:div>
        <w:div w:id="71436151">
          <w:marLeft w:val="0"/>
          <w:marRight w:val="0"/>
          <w:marTop w:val="0"/>
          <w:marBottom w:val="0"/>
          <w:divBdr>
            <w:top w:val="none" w:sz="0" w:space="0" w:color="auto"/>
            <w:left w:val="none" w:sz="0" w:space="0" w:color="auto"/>
            <w:bottom w:val="none" w:sz="0" w:space="0" w:color="auto"/>
            <w:right w:val="none" w:sz="0" w:space="0" w:color="auto"/>
          </w:divBdr>
        </w:div>
        <w:div w:id="720792839">
          <w:marLeft w:val="0"/>
          <w:marRight w:val="0"/>
          <w:marTop w:val="0"/>
          <w:marBottom w:val="0"/>
          <w:divBdr>
            <w:top w:val="none" w:sz="0" w:space="0" w:color="auto"/>
            <w:left w:val="none" w:sz="0" w:space="0" w:color="auto"/>
            <w:bottom w:val="none" w:sz="0" w:space="0" w:color="auto"/>
            <w:right w:val="none" w:sz="0" w:space="0" w:color="auto"/>
          </w:divBdr>
        </w:div>
        <w:div w:id="732699501">
          <w:marLeft w:val="0"/>
          <w:marRight w:val="0"/>
          <w:marTop w:val="0"/>
          <w:marBottom w:val="0"/>
          <w:divBdr>
            <w:top w:val="none" w:sz="0" w:space="0" w:color="auto"/>
            <w:left w:val="none" w:sz="0" w:space="0" w:color="auto"/>
            <w:bottom w:val="none" w:sz="0" w:space="0" w:color="auto"/>
            <w:right w:val="none" w:sz="0" w:space="0" w:color="auto"/>
          </w:divBdr>
        </w:div>
        <w:div w:id="849640685">
          <w:marLeft w:val="0"/>
          <w:marRight w:val="0"/>
          <w:marTop w:val="0"/>
          <w:marBottom w:val="0"/>
          <w:divBdr>
            <w:top w:val="none" w:sz="0" w:space="0" w:color="auto"/>
            <w:left w:val="none" w:sz="0" w:space="0" w:color="auto"/>
            <w:bottom w:val="none" w:sz="0" w:space="0" w:color="auto"/>
            <w:right w:val="none" w:sz="0" w:space="0" w:color="auto"/>
          </w:divBdr>
        </w:div>
        <w:div w:id="1483424746">
          <w:marLeft w:val="0"/>
          <w:marRight w:val="0"/>
          <w:marTop w:val="0"/>
          <w:marBottom w:val="0"/>
          <w:divBdr>
            <w:top w:val="none" w:sz="0" w:space="0" w:color="auto"/>
            <w:left w:val="none" w:sz="0" w:space="0" w:color="auto"/>
            <w:bottom w:val="none" w:sz="0" w:space="0" w:color="auto"/>
            <w:right w:val="none" w:sz="0" w:space="0" w:color="auto"/>
          </w:divBdr>
        </w:div>
        <w:div w:id="707266409">
          <w:marLeft w:val="0"/>
          <w:marRight w:val="0"/>
          <w:marTop w:val="0"/>
          <w:marBottom w:val="0"/>
          <w:divBdr>
            <w:top w:val="none" w:sz="0" w:space="0" w:color="auto"/>
            <w:left w:val="none" w:sz="0" w:space="0" w:color="auto"/>
            <w:bottom w:val="none" w:sz="0" w:space="0" w:color="auto"/>
            <w:right w:val="none" w:sz="0" w:space="0" w:color="auto"/>
          </w:divBdr>
        </w:div>
        <w:div w:id="1885093626">
          <w:marLeft w:val="0"/>
          <w:marRight w:val="0"/>
          <w:marTop w:val="0"/>
          <w:marBottom w:val="0"/>
          <w:divBdr>
            <w:top w:val="none" w:sz="0" w:space="0" w:color="auto"/>
            <w:left w:val="none" w:sz="0" w:space="0" w:color="auto"/>
            <w:bottom w:val="none" w:sz="0" w:space="0" w:color="auto"/>
            <w:right w:val="none" w:sz="0" w:space="0" w:color="auto"/>
          </w:divBdr>
        </w:div>
        <w:div w:id="908461599">
          <w:marLeft w:val="0"/>
          <w:marRight w:val="0"/>
          <w:marTop w:val="0"/>
          <w:marBottom w:val="0"/>
          <w:divBdr>
            <w:top w:val="none" w:sz="0" w:space="0" w:color="auto"/>
            <w:left w:val="none" w:sz="0" w:space="0" w:color="auto"/>
            <w:bottom w:val="none" w:sz="0" w:space="0" w:color="auto"/>
            <w:right w:val="none" w:sz="0" w:space="0" w:color="auto"/>
          </w:divBdr>
        </w:div>
        <w:div w:id="1987314530">
          <w:marLeft w:val="0"/>
          <w:marRight w:val="0"/>
          <w:marTop w:val="0"/>
          <w:marBottom w:val="0"/>
          <w:divBdr>
            <w:top w:val="none" w:sz="0" w:space="0" w:color="auto"/>
            <w:left w:val="none" w:sz="0" w:space="0" w:color="auto"/>
            <w:bottom w:val="none" w:sz="0" w:space="0" w:color="auto"/>
            <w:right w:val="none" w:sz="0" w:space="0" w:color="auto"/>
          </w:divBdr>
        </w:div>
        <w:div w:id="182434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en.wikipedia.org/wiki/Telecommunic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islation.govt.nz/act/public/1989/0080/latest/link.aspx?search=sw_096be8ed8090b33f_domestic_25&amp;p=1&amp;id=DLM1440300" TargetMode="External"/><Relationship Id="rId2" Type="http://schemas.openxmlformats.org/officeDocument/2006/relationships/customXml" Target="../customXml/item2.xml"/><Relationship Id="rId16" Type="http://schemas.openxmlformats.org/officeDocument/2006/relationships/hyperlink" Target="https://www.hrc.co.nz/complaint-for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edr.org.n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zqa.govt.nz/about-us/make-a-compla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34B1D86FCF8B45906D6ED8E048E70F" ma:contentTypeVersion="7" ma:contentTypeDescription="Create a new document." ma:contentTypeScope="" ma:versionID="c6a1ea3eff03acf3e79d161fb46f2ed7">
  <xsd:schema xmlns:xsd="http://www.w3.org/2001/XMLSchema" xmlns:xs="http://www.w3.org/2001/XMLSchema" xmlns:p="http://schemas.microsoft.com/office/2006/metadata/properties" xmlns:ns2="eeb9291b-c45f-4c8e-aeaf-c5cc5b875092" xmlns:ns3="a51cdd5c-8bb2-4d9b-ba07-d7f8a9de22bb" targetNamespace="http://schemas.microsoft.com/office/2006/metadata/properties" ma:root="true" ma:fieldsID="aacff916395e8fe6d9265d73fe108d0f" ns2:_="" ns3:_="">
    <xsd:import namespace="eeb9291b-c45f-4c8e-aeaf-c5cc5b875092"/>
    <xsd:import namespace="a51cdd5c-8bb2-4d9b-ba07-d7f8a9de2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9291b-c45f-4c8e-aeaf-c5cc5b875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cdd5c-8bb2-4d9b-ba07-d7f8a9de22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4934D-98D2-4345-A70B-240E42FBA58E}">
  <ds:schemaRefs>
    <ds:schemaRef ds:uri="http://schemas.microsoft.com/sharepoint/v3/contenttype/forms"/>
  </ds:schemaRefs>
</ds:datastoreItem>
</file>

<file path=customXml/itemProps2.xml><?xml version="1.0" encoding="utf-8"?>
<ds:datastoreItem xmlns:ds="http://schemas.openxmlformats.org/officeDocument/2006/customXml" ds:itemID="{8076297F-2B7F-4956-9A34-FC631B886B95}"/>
</file>

<file path=customXml/itemProps3.xml><?xml version="1.0" encoding="utf-8"?>
<ds:datastoreItem xmlns:ds="http://schemas.openxmlformats.org/officeDocument/2006/customXml" ds:itemID="{6C21EFFD-20D5-4672-893D-50F8FE5AB667}">
  <ds:schemaRefs>
    <ds:schemaRef ds:uri="http://schemas.openxmlformats.org/officeDocument/2006/bibliography"/>
  </ds:schemaRefs>
</ds:datastoreItem>
</file>

<file path=customXml/itemProps4.xml><?xml version="1.0" encoding="utf-8"?>
<ds:datastoreItem xmlns:ds="http://schemas.openxmlformats.org/officeDocument/2006/customXml" ds:itemID="{E979EB25-E495-4CDB-AFBF-C64D43EEA8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16727</Words>
  <Characters>90392</Characters>
  <Application>Microsoft Office Word</Application>
  <DocSecurity>0</DocSecurity>
  <Lines>753</Lines>
  <Paragraphs>213</Paragraphs>
  <ScaleCrop>false</ScaleCrop>
  <Company>Taratahi Institute of Agriculture</Company>
  <LinksUpToDate>false</LinksUpToDate>
  <CharactersWithSpaces>106906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Taratahi Student Regulations</dc:title>
  <dc:creator>Tim Wilson</dc:creator>
  <cp:lastModifiedBy>Tim Wilson</cp:lastModifiedBy>
  <cp:revision>7</cp:revision>
  <cp:lastPrinted>2014-12-14T22:16:00Z</cp:lastPrinted>
  <dcterms:created xsi:type="dcterms:W3CDTF">2023-11-21T21:27:00Z</dcterms:created>
  <dcterms:modified xsi:type="dcterms:W3CDTF">2023-11-21T21:41:00Z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0x010100A934B1D86FCF8B45906D6ED8E048E70F</vt:lpwstr>
  </property>
</Properties>
</file>